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2A921" w14:textId="004C343C" w:rsidR="008356A6" w:rsidRDefault="00072A07" w:rsidP="00072A07">
      <w:pPr>
        <w:pStyle w:val="Heading1"/>
      </w:pPr>
      <w:r>
        <w:t xml:space="preserve">COMMITTEE ON </w:t>
      </w:r>
      <w:r w:rsidR="00DC27A5">
        <w:t>Parasitic and vector borne diseases</w:t>
      </w:r>
    </w:p>
    <w:p w14:paraId="082CFC8C" w14:textId="68AB3E89" w:rsidR="00072A07" w:rsidRDefault="00072A07" w:rsidP="00072A07">
      <w:pPr>
        <w:jc w:val="center"/>
      </w:pPr>
      <w:r>
        <w:t>Chair:</w:t>
      </w:r>
      <w:r w:rsidR="00DC27A5">
        <w:t xml:space="preserve">  Hallie Hasel</w:t>
      </w:r>
    </w:p>
    <w:p w14:paraId="0AAF48FD" w14:textId="4C866CB3" w:rsidR="00072A07" w:rsidRDefault="00072A07" w:rsidP="00072A07">
      <w:pPr>
        <w:jc w:val="center"/>
      </w:pPr>
      <w:r>
        <w:t>Vice Chair:</w:t>
      </w:r>
      <w:r w:rsidR="00DC27A5">
        <w:t xml:space="preserve"> T</w:t>
      </w:r>
      <w:r w:rsidR="00676D63">
        <w:t xml:space="preserve">.R. </w:t>
      </w:r>
      <w:r w:rsidR="00DC27A5">
        <w:t>Lansford</w:t>
      </w:r>
    </w:p>
    <w:p w14:paraId="334840E6" w14:textId="77777777" w:rsidR="00072A07" w:rsidRDefault="00072A07" w:rsidP="00072A07">
      <w:pPr>
        <w:jc w:val="center"/>
      </w:pPr>
    </w:p>
    <w:p w14:paraId="1BABDEF5" w14:textId="77777777" w:rsidR="0095554B" w:rsidRDefault="0095554B" w:rsidP="00072A07">
      <w:pPr>
        <w:jc w:val="center"/>
      </w:pPr>
    </w:p>
    <w:p w14:paraId="3AAEF208" w14:textId="6A65018D" w:rsidR="00DC27A5" w:rsidRDefault="0095554B" w:rsidP="00DC27A5">
      <w:pPr>
        <w:ind w:firstLine="360"/>
      </w:pPr>
      <w:r>
        <w:t xml:space="preserve">The Committee met during the </w:t>
      </w:r>
      <w:r w:rsidR="00DC27A5">
        <w:t>2023</w:t>
      </w:r>
      <w:r>
        <w:t xml:space="preserve"> Annual Meeting in</w:t>
      </w:r>
      <w:r w:rsidR="00DC27A5">
        <w:t xml:space="preserve"> National Harbor, Maryland</w:t>
      </w:r>
      <w:r>
        <w:t xml:space="preserve"> on October </w:t>
      </w:r>
      <w:r w:rsidR="00DC27A5">
        <w:t>17</w:t>
      </w:r>
      <w:r>
        <w:t xml:space="preserve">. There were </w:t>
      </w:r>
      <w:r w:rsidR="00676D63">
        <w:t>46</w:t>
      </w:r>
      <w:r>
        <w:t xml:space="preserve"> members and </w:t>
      </w:r>
      <w:r w:rsidR="00676D63">
        <w:t>60</w:t>
      </w:r>
      <w:r>
        <w:t xml:space="preserve"> guests in attendance. </w:t>
      </w:r>
      <w:r w:rsidR="00DC27A5">
        <w:t xml:space="preserve">The meeting began with the presentations summarized below, followed by recognition of report summaries, also attached. Both Dr. Torchetti and Dr. Ruder provided verbal summaries of their reports. The committee did not have any resolutions from 2021 to review, and no resolutions were introduced in 2023. </w:t>
      </w:r>
      <w:r>
        <w:t xml:space="preserve"> </w:t>
      </w:r>
    </w:p>
    <w:p w14:paraId="4010036D" w14:textId="77777777" w:rsidR="0095554B" w:rsidRDefault="0095554B" w:rsidP="0095554B"/>
    <w:p w14:paraId="2EE4518D" w14:textId="3220EEFE" w:rsidR="0095554B" w:rsidRDefault="0095554B" w:rsidP="0095554B">
      <w:r>
        <w:rPr>
          <w:b/>
          <w:bCs/>
        </w:rPr>
        <w:t>Presentations &amp; Reports</w:t>
      </w:r>
    </w:p>
    <w:p w14:paraId="39353F81" w14:textId="77777777" w:rsidR="0095554B" w:rsidRDefault="0095554B" w:rsidP="0095554B"/>
    <w:p w14:paraId="240A41DA" w14:textId="5F4F24AB" w:rsidR="00E71751" w:rsidRDefault="00E71751" w:rsidP="00E71751">
      <w:pPr>
        <w:rPr>
          <w:b/>
          <w:bCs/>
        </w:rPr>
      </w:pPr>
      <w:r w:rsidRPr="00E71751">
        <w:rPr>
          <w:b/>
          <w:bCs/>
        </w:rPr>
        <w:t xml:space="preserve">Assessment of African Swine Fever Virus-Competent Tick Vectors, </w:t>
      </w:r>
      <w:r w:rsidRPr="00E71751">
        <w:rPr>
          <w:b/>
          <w:bCs/>
          <w:i/>
          <w:iCs/>
        </w:rPr>
        <w:t>Ornithodoros spp</w:t>
      </w:r>
      <w:r w:rsidRPr="00E71751">
        <w:rPr>
          <w:b/>
          <w:bCs/>
        </w:rPr>
        <w:t>., at U.S. Mexico Border and Near Commercial Swine Operations</w:t>
      </w:r>
    </w:p>
    <w:p w14:paraId="7A3E9586" w14:textId="1831AD01" w:rsidR="00E71751" w:rsidRDefault="00E71751" w:rsidP="00E71751">
      <w:r>
        <w:t>Dr. Dee Ellis, Texas A&amp;M AgriLife Veterinarian</w:t>
      </w:r>
    </w:p>
    <w:p w14:paraId="44C6AF64" w14:textId="154379BB" w:rsidR="00E71751" w:rsidRDefault="00E71751" w:rsidP="00E71751"/>
    <w:p w14:paraId="58A1ABB6" w14:textId="1171E37D" w:rsidR="00E71751" w:rsidRDefault="00E71751" w:rsidP="00E71751">
      <w:r w:rsidRPr="00E71751">
        <w:t>Dr. Dee Ellis of Texas A&amp;M provided an overview of a Department of Homeland Security funded project to search for the presence of potential African Swine Fever (AFS) tick vectors along the Rio Grande where there are large numbers of feral swine, and near commercial swine facilities in Texas. The project will provide updated geographical mapping of competent tick vectors species of ticks along with environmental modeling of the habitat in which the ticks preside. The study will use both gross taxonomy and DNA analysis to verify the genus and species of ticks found. To date the tick </w:t>
      </w:r>
      <w:r w:rsidRPr="00E71751">
        <w:rPr>
          <w:i/>
          <w:iCs/>
        </w:rPr>
        <w:t xml:space="preserve">Ornithodoros </w:t>
      </w:r>
      <w:proofErr w:type="spellStart"/>
      <w:r w:rsidRPr="00E71751">
        <w:rPr>
          <w:i/>
          <w:iCs/>
        </w:rPr>
        <w:t>turicata</w:t>
      </w:r>
      <w:proofErr w:type="spellEnd"/>
      <w:r w:rsidRPr="00E71751">
        <w:t> has been only soft tick potential vector found, which is known to be a competent vector in other countries. Captured ticks will also have stomach contents evaluated as well to determine what species of animals they are feeding on. The long-term goal of the project is to identify competent tick vector locations where they come in contact with swine (domestic or feral) that could be used as the basis for a surveillance system for evaluation of the potential of a sylvatic cycle transmission, if AFS occurs in the US.</w:t>
      </w:r>
    </w:p>
    <w:p w14:paraId="5930E86F" w14:textId="4451C2BD" w:rsidR="00272677" w:rsidRDefault="00272677" w:rsidP="00E71751"/>
    <w:p w14:paraId="0FA8B364" w14:textId="0EE11D2C" w:rsidR="00272677" w:rsidRPr="00272677" w:rsidRDefault="00C764F2" w:rsidP="00E71751">
      <w:pPr>
        <w:rPr>
          <w:b/>
          <w:bCs/>
        </w:rPr>
      </w:pPr>
      <w:r>
        <w:rPr>
          <w:b/>
          <w:bCs/>
        </w:rPr>
        <w:t xml:space="preserve">USDA-ARS </w:t>
      </w:r>
      <w:r w:rsidR="00272677" w:rsidRPr="00272677">
        <w:rPr>
          <w:b/>
          <w:bCs/>
        </w:rPr>
        <w:t>Knipling-Bushland U.S. Livestock Insects Research Laboratory Update</w:t>
      </w:r>
    </w:p>
    <w:p w14:paraId="7D9A8EDF" w14:textId="6F2E348F" w:rsidR="00272677" w:rsidRPr="00C764F2" w:rsidRDefault="00272677" w:rsidP="00E71751">
      <w:pPr>
        <w:rPr>
          <w:rFonts w:cs="Arial"/>
        </w:rPr>
      </w:pPr>
      <w:r w:rsidRPr="00C764F2">
        <w:rPr>
          <w:rFonts w:cs="Arial"/>
        </w:rPr>
        <w:t xml:space="preserve">Dr. Kim Lohmeyer, </w:t>
      </w:r>
    </w:p>
    <w:p w14:paraId="5AA3414B" w14:textId="440CB117" w:rsidR="00495431" w:rsidRPr="00C764F2" w:rsidRDefault="00495431" w:rsidP="00E71751">
      <w:pPr>
        <w:rPr>
          <w:rFonts w:cs="Arial"/>
        </w:rPr>
      </w:pPr>
    </w:p>
    <w:p w14:paraId="180CF191" w14:textId="77777777" w:rsidR="00495431" w:rsidRPr="00C764F2" w:rsidRDefault="00495431" w:rsidP="00495431">
      <w:pPr>
        <w:spacing w:after="160" w:line="259" w:lineRule="auto"/>
        <w:rPr>
          <w:rFonts w:cs="Arial"/>
        </w:rPr>
      </w:pPr>
      <w:r w:rsidRPr="00C764F2">
        <w:rPr>
          <w:rFonts w:cs="Arial"/>
        </w:rPr>
        <w:t xml:space="preserve">The USDA-ARS Knipling Bushland U.S. Livestock Insects Research Laboratory (KBUSLIRL) is composed of three separate research facilities: The Knipling Bushland U.S. Livestock Insects Research Laboratory, Kerrville, TX; the Cattle Fever Tick Research Laboratory (CFTRL), Edinburg, TX; and the Sterile Screwworm Production Facility, Pecora, Panama. </w:t>
      </w:r>
    </w:p>
    <w:p w14:paraId="439C1334" w14:textId="77777777" w:rsidR="00495431" w:rsidRPr="00C764F2" w:rsidRDefault="00495431" w:rsidP="00495431">
      <w:pPr>
        <w:spacing w:after="160" w:line="259" w:lineRule="auto"/>
        <w:rPr>
          <w:rFonts w:cs="Arial"/>
        </w:rPr>
      </w:pPr>
      <w:r w:rsidRPr="00C764F2">
        <w:rPr>
          <w:rFonts w:cs="Arial"/>
        </w:rPr>
        <w:t>Significant administrative changes happened in FY22 that realigned the KBUSLIRL research program into three Research Units: 1) LAPRU: the Livestock Arthropod Pests Research Unit located in Kerrville and Pecora, Panama, that conducts research on biting flies, New World screwworm, and invasive/exotic tick pests of cattle and wildlife; 2) VPGRU: the Veterinary Pests Genetics Research Unit located in Kerrville that conducts fundamental research on pest genetics that can be used to identify and exploit pest weaknesses; and 3) CFTRU: the Cattle Fever Tick Research Unit located in Edinburg that focuses on research to develop novel control methods for cattle fever ticks (CFT). Additionally, the long-planned facility modernization project for the KBUSLIRL facility started in March of 2022. This project includes the construction of a large new administrative and laboratory structure that will house the scientific staff in one building as well as a new fly and tick rearing facility. Construction is expected to be completed in early 2025. At the CFTRL in Edinburg, outdated office spaces were remodeled into laboratory space in FY22 and construction of a new free-standing molecular laboratory space began in FY23. Construction of two new cattle stanchion research barns was completed in FY23 and a new white-tailed deer research facility will be constructed in FY24. The additional cattle barn and laboratory research space as well as the deer facility will allow expansion of the CFT research program and increase capacity for conducting studies on site with both cattle and wildlife hosts of CFT.</w:t>
      </w:r>
    </w:p>
    <w:p w14:paraId="55998F53" w14:textId="744AB326" w:rsidR="00495431" w:rsidRDefault="00495431" w:rsidP="00C764F2">
      <w:r w:rsidRPr="00C764F2">
        <w:t xml:space="preserve">Ongoing research efforts of the USDA-ARS continue to include applied and genomic research on ticks, biting flies, and New World screwworms. Scientists at all three locations are involved in research to find novel control techniques for CFT, invasive ticks, and fly pests as well as techniques to improve lures and mass rearing techniques for New World screwworms. Alternative treatments for cattle and wildlife to traditional acaricide treatments such as </w:t>
      </w:r>
      <w:proofErr w:type="spellStart"/>
      <w:r w:rsidRPr="00C764F2">
        <w:t>coumaphos</w:t>
      </w:r>
      <w:proofErr w:type="spellEnd"/>
      <w:r w:rsidRPr="00C764F2">
        <w:t xml:space="preserve"> are being investigated as well as the efficacy of novel control strategies such as tick vaccines and biocontrol agents. Additionally, research is being conducted to help combat acaricide resistance and to find longer acting CFT treatments that allow a reduction in the frequency and associated costs of rounding up cattle for treatment.  Novel control strategies for ticks and flies such as desiccant dusts and essential oils are being evaluated. Modeling studies as well as field studies that incorporate “big data” collection from cattle and the environment are being conducted with university partners that will help further refine CFT life cycle models as well as models for treatment scenarios. Continued genetic relatedness studies provide information about the source of CFT collected from new infestations </w:t>
      </w:r>
      <w:r w:rsidRPr="00C764F2">
        <w:lastRenderedPageBreak/>
        <w:t xml:space="preserve">along the Texas border. This information can used to compare the genetic signature of CFT within and between counties and help trace their points of origin. </w:t>
      </w:r>
    </w:p>
    <w:p w14:paraId="70C7B303" w14:textId="77777777" w:rsidR="00C764F2" w:rsidRDefault="00C764F2" w:rsidP="00C764F2"/>
    <w:p w14:paraId="0DB3A22F" w14:textId="336EEB18" w:rsidR="00C764F2" w:rsidRPr="00C764F2" w:rsidRDefault="00C764F2" w:rsidP="00C764F2">
      <w:pPr>
        <w:rPr>
          <w:b/>
          <w:bCs/>
        </w:rPr>
      </w:pPr>
      <w:r w:rsidRPr="00C764F2">
        <w:rPr>
          <w:b/>
          <w:bCs/>
        </w:rPr>
        <w:t>Cattle Fever Tick Updates, Texas</w:t>
      </w:r>
    </w:p>
    <w:p w14:paraId="3404F8AC" w14:textId="40EE9A76" w:rsidR="00C764F2" w:rsidRDefault="00C764F2" w:rsidP="00495431">
      <w:pPr>
        <w:spacing w:after="160" w:line="259" w:lineRule="auto"/>
        <w:rPr>
          <w:rFonts w:cs="Arial"/>
        </w:rPr>
      </w:pPr>
      <w:r>
        <w:rPr>
          <w:rFonts w:cs="Arial"/>
        </w:rPr>
        <w:t>Dr. Andy Schwartz, Executive Director Emeritus, Texas Animal Health Commission</w:t>
      </w:r>
    </w:p>
    <w:p w14:paraId="13A83343" w14:textId="77777777" w:rsidR="00C764F2" w:rsidRPr="00C764F2" w:rsidRDefault="00C764F2" w:rsidP="00C764F2">
      <w:pPr>
        <w:rPr>
          <w:rFonts w:cs="Arial"/>
        </w:rPr>
      </w:pPr>
      <w:r w:rsidRPr="00C764F2">
        <w:rPr>
          <w:rFonts w:cs="Arial"/>
        </w:rPr>
        <w:t xml:space="preserve">In the state-federal cooperative Cattle Fever Tick Eradication Program in Texas, there are currently 2,640 premises under quarantine encompassing approximately 840,000 acres. Although the number of infested premises is down slightly from 2022, it has remained high since 2015. This is largely due to the challenges of eradicating fever ticks while they are being multiplied and spread by white-tailed deer and nilgai antelope. </w:t>
      </w:r>
    </w:p>
    <w:p w14:paraId="36C34B69" w14:textId="77777777" w:rsidR="00C764F2" w:rsidRPr="00C764F2" w:rsidRDefault="00C764F2" w:rsidP="00C764F2">
      <w:pPr>
        <w:rPr>
          <w:rFonts w:cs="Arial"/>
        </w:rPr>
      </w:pPr>
      <w:r w:rsidRPr="00C764F2">
        <w:rPr>
          <w:rFonts w:cs="Arial"/>
        </w:rPr>
        <w:t xml:space="preserve">In addition to the systematic treatment of infested cattle, vaccination of cattle with a BM-86 immunomodulator, and feeding ivermectin medicated corn to deer, varied strategies for surveillance and eradication are being researched and employed. </w:t>
      </w:r>
    </w:p>
    <w:p w14:paraId="7D30CC37" w14:textId="77777777" w:rsidR="00C764F2" w:rsidRPr="00C764F2" w:rsidRDefault="00C764F2" w:rsidP="00C764F2">
      <w:pPr>
        <w:rPr>
          <w:rFonts w:cs="Arial"/>
        </w:rPr>
      </w:pPr>
      <w:r w:rsidRPr="00C764F2">
        <w:rPr>
          <w:rFonts w:cs="Arial"/>
        </w:rPr>
        <w:t xml:space="preserve">Voluntary scratch inspection and dipping of cattle is offered at six livestock markets in south Texas. This provides valuable surveillance while assuring buyers that cattle they purchase will not be caught up in a trace should the ranch of origin be found infested. Approximately 100,000 head of cattle are voluntarily dipped annually, which is 50-67% of the cattle sold through these markets. Since the effort was initiated in 2018, there have been 12 infested herds discovered and the need for hundreds of traces eliminated. </w:t>
      </w:r>
    </w:p>
    <w:p w14:paraId="54174859" w14:textId="77777777" w:rsidR="00C764F2" w:rsidRPr="00C764F2" w:rsidRDefault="00C764F2" w:rsidP="00C764F2">
      <w:pPr>
        <w:rPr>
          <w:rFonts w:cs="Arial"/>
        </w:rPr>
      </w:pPr>
      <w:r w:rsidRPr="00C764F2">
        <w:rPr>
          <w:rFonts w:cs="Arial"/>
        </w:rPr>
        <w:t xml:space="preserve">Nilgai antelope are not attracted to feed so research is ongoing for other methods of treatment. An entomopathogenic nematode has been proven to kill ticks, though application of these nematodes via motion activated sprayers at fence crossings is held up pending FDA approval. Other acaricides and organic compounds are being tested through various spray apparatuses to treat cattle, deer, and nilgai. The most promising organic compound at the moment seems to be an all-natural fly and tick spray. </w:t>
      </w:r>
    </w:p>
    <w:p w14:paraId="1C3F6D9A" w14:textId="77777777" w:rsidR="00C764F2" w:rsidRPr="00C764F2" w:rsidRDefault="00C764F2" w:rsidP="00C764F2">
      <w:pPr>
        <w:rPr>
          <w:rFonts w:cs="Arial"/>
        </w:rPr>
      </w:pPr>
      <w:r w:rsidRPr="00C764F2">
        <w:rPr>
          <w:rFonts w:cs="Arial"/>
        </w:rPr>
        <w:t xml:space="preserve">A field research project is underway to determine the optimal dosing schedule for treating cattle with eprinomectin. Initial studies showed this product could have up to a </w:t>
      </w:r>
      <w:proofErr w:type="gramStart"/>
      <w:r w:rsidRPr="00C764F2">
        <w:rPr>
          <w:rFonts w:cs="Arial"/>
        </w:rPr>
        <w:t>110 day</w:t>
      </w:r>
      <w:proofErr w:type="gramEnd"/>
      <w:r w:rsidRPr="00C764F2">
        <w:rPr>
          <w:rFonts w:cs="Arial"/>
        </w:rPr>
        <w:t xml:space="preserve"> treatment window, much longer than the current 25-28 days with doramectin. </w:t>
      </w:r>
    </w:p>
    <w:p w14:paraId="485C7CAB" w14:textId="77777777" w:rsidR="00C764F2" w:rsidRPr="00C764F2" w:rsidRDefault="00C764F2" w:rsidP="00C764F2">
      <w:pPr>
        <w:rPr>
          <w:rFonts w:cs="Arial"/>
        </w:rPr>
      </w:pPr>
      <w:r w:rsidRPr="00C764F2">
        <w:rPr>
          <w:rFonts w:cs="Arial"/>
        </w:rPr>
        <w:t xml:space="preserve">Game-proof fencing is being constructed in strategic locations to limit the movement of tick infested white-tailed deer and nilgai, with a design to allowing unrestricted movement of local endangered animal species. </w:t>
      </w:r>
    </w:p>
    <w:p w14:paraId="1F279027" w14:textId="77777777" w:rsidR="00C764F2" w:rsidRPr="00C764F2" w:rsidRDefault="00C764F2" w:rsidP="00C764F2">
      <w:pPr>
        <w:rPr>
          <w:rFonts w:cs="Arial"/>
        </w:rPr>
      </w:pPr>
      <w:r w:rsidRPr="00C764F2">
        <w:rPr>
          <w:rFonts w:cs="Arial"/>
        </w:rPr>
        <w:t xml:space="preserve">Federally funded tick control projects are underway in the Mexico states of Tamaulipas and Coahuila, with progress reports due at the end of this calendar year. These projects support the concept of establishing the “Rio Bravo Buffer Zone”, a fever tick buffer zone in Mexico along the US border similar in size to the </w:t>
      </w:r>
      <w:proofErr w:type="gramStart"/>
      <w:r w:rsidRPr="00C764F2">
        <w:rPr>
          <w:rFonts w:cs="Arial"/>
        </w:rPr>
        <w:t>500-mile long</w:t>
      </w:r>
      <w:proofErr w:type="gramEnd"/>
      <w:r w:rsidRPr="00C764F2">
        <w:rPr>
          <w:rFonts w:cs="Arial"/>
        </w:rPr>
        <w:t xml:space="preserve"> zone in Texas. Reducing or eliminating fever ticks in this buffer zone would reduce the burden on land and livestock owners in Texas. </w:t>
      </w:r>
    </w:p>
    <w:p w14:paraId="11F1A595" w14:textId="77777777" w:rsidR="00C764F2" w:rsidRPr="00C764F2" w:rsidRDefault="00C764F2" w:rsidP="00495431">
      <w:pPr>
        <w:spacing w:after="160" w:line="259" w:lineRule="auto"/>
        <w:rPr>
          <w:rFonts w:cs="Arial"/>
        </w:rPr>
      </w:pPr>
    </w:p>
    <w:p w14:paraId="02EA45BE" w14:textId="62D320B4" w:rsidR="00E71751" w:rsidRDefault="00272677" w:rsidP="00E71751">
      <w:pPr>
        <w:rPr>
          <w:b/>
          <w:bCs/>
        </w:rPr>
      </w:pPr>
      <w:r w:rsidRPr="00272677">
        <w:rPr>
          <w:b/>
          <w:bCs/>
        </w:rPr>
        <w:t>Cattle Fever Tick Eradication Program – Game Proof, High Fence Construction</w:t>
      </w:r>
    </w:p>
    <w:p w14:paraId="589A94A6" w14:textId="39D73E75" w:rsidR="00272677" w:rsidRDefault="00272677" w:rsidP="00E71751">
      <w:r>
        <w:t>Mr. John Picanso, Director, Cattle Fever Tick Eradication Program</w:t>
      </w:r>
    </w:p>
    <w:p w14:paraId="1183E86C" w14:textId="77777777" w:rsidR="00C764F2" w:rsidRDefault="00C764F2" w:rsidP="00E71751"/>
    <w:p w14:paraId="2B78F031" w14:textId="77777777" w:rsidR="00C764F2" w:rsidRDefault="00C764F2" w:rsidP="00C764F2">
      <w:r>
        <w:t>Why Game Proof High Fence?</w:t>
      </w:r>
    </w:p>
    <w:p w14:paraId="59A3422B" w14:textId="77777777" w:rsidR="00C764F2" w:rsidRDefault="00C764F2" w:rsidP="00C764F2">
      <w:r>
        <w:t>The Cattle Fever Tick Eradication Program (CFTEP) is charged with controlling the</w:t>
      </w:r>
    </w:p>
    <w:p w14:paraId="672E5891" w14:textId="77777777" w:rsidR="00C764F2" w:rsidRDefault="00C764F2" w:rsidP="00C764F2">
      <w:r>
        <w:t>spread of Cattle Fever Ticks (CFTs), which can infect cattle with babesiosis, leading</w:t>
      </w:r>
    </w:p>
    <w:p w14:paraId="7808908F" w14:textId="77777777" w:rsidR="00C764F2" w:rsidRDefault="00C764F2" w:rsidP="00C764F2">
      <w:r>
        <w:t>to a negative impact on the cattle and the infested ranches. CFTs are not exclusive</w:t>
      </w:r>
    </w:p>
    <w:p w14:paraId="7B9EAEA3" w14:textId="77777777" w:rsidR="00C764F2" w:rsidRDefault="00C764F2" w:rsidP="00C764F2">
      <w:r>
        <w:t>to cattle and can also find a suitable host in white tailed deer and nilgai antelope.</w:t>
      </w:r>
    </w:p>
    <w:p w14:paraId="119EAA9D" w14:textId="77777777" w:rsidR="00C764F2" w:rsidRDefault="00C764F2" w:rsidP="00C764F2">
      <w:r>
        <w:t>The CFTEP has a congressional requirement to build game proof high fencing</w:t>
      </w:r>
    </w:p>
    <w:p w14:paraId="0F040535" w14:textId="77777777" w:rsidR="00C764F2" w:rsidRDefault="00C764F2" w:rsidP="00C764F2">
      <w:r>
        <w:t>portions along various properties (private/public land) in deep South Texas</w:t>
      </w:r>
    </w:p>
    <w:p w14:paraId="28487043" w14:textId="77777777" w:rsidR="00C764F2" w:rsidRDefault="00C764F2" w:rsidP="00C764F2">
      <w:r>
        <w:t>counties, to restrict movement of these wildlife. These portions may connect</w:t>
      </w:r>
    </w:p>
    <w:p w14:paraId="7E07820B" w14:textId="77777777" w:rsidR="00C764F2" w:rsidRDefault="00C764F2" w:rsidP="00C764F2">
      <w:r>
        <w:t>with other existing game fence or cattle fencing already in place, creating miles of</w:t>
      </w:r>
    </w:p>
    <w:p w14:paraId="0114D9AF" w14:textId="77777777" w:rsidR="00C764F2" w:rsidRDefault="00C764F2" w:rsidP="00C764F2">
      <w:r>
        <w:t>contiguous fencing across a wildlife corridor within the Counties. This additional</w:t>
      </w:r>
    </w:p>
    <w:p w14:paraId="17EFC174" w14:textId="77777777" w:rsidR="00C764F2" w:rsidRDefault="00C764F2" w:rsidP="00C764F2">
      <w:r>
        <w:t>fencing will also contain cattle on systematic treatment for CFTs, outside of the</w:t>
      </w:r>
    </w:p>
    <w:p w14:paraId="406C58C4" w14:textId="63DD3F6E" w:rsidR="00272677" w:rsidRDefault="00C764F2" w:rsidP="00C764F2">
      <w:r>
        <w:t>Permanent Quarantine Zone.</w:t>
      </w:r>
    </w:p>
    <w:p w14:paraId="0718F09B" w14:textId="3BC3A340" w:rsidR="00272677" w:rsidRDefault="00272677" w:rsidP="00E71751"/>
    <w:p w14:paraId="5B5A99ED" w14:textId="3F5CB5FD" w:rsidR="00D42DFB" w:rsidRPr="0073246C" w:rsidRDefault="0073246C" w:rsidP="00E71751">
      <w:pPr>
        <w:rPr>
          <w:b/>
          <w:bCs/>
        </w:rPr>
      </w:pPr>
      <w:r>
        <w:rPr>
          <w:b/>
          <w:bCs/>
        </w:rPr>
        <w:t xml:space="preserve">2023 </w:t>
      </w:r>
      <w:r w:rsidR="00D42DFB" w:rsidRPr="0073246C">
        <w:rPr>
          <w:b/>
          <w:bCs/>
        </w:rPr>
        <w:t>SCWDS</w:t>
      </w:r>
      <w:r>
        <w:rPr>
          <w:b/>
          <w:bCs/>
        </w:rPr>
        <w:t xml:space="preserve"> Update on 2023</w:t>
      </w:r>
      <w:r w:rsidR="00D42DFB" w:rsidRPr="0073246C">
        <w:rPr>
          <w:b/>
          <w:bCs/>
        </w:rPr>
        <w:t xml:space="preserve"> Orbivirus </w:t>
      </w:r>
      <w:r>
        <w:rPr>
          <w:b/>
          <w:bCs/>
        </w:rPr>
        <w:t>Activity</w:t>
      </w:r>
    </w:p>
    <w:p w14:paraId="7A9654AA" w14:textId="23F57650" w:rsidR="0073246C" w:rsidRDefault="00D42DFB" w:rsidP="00E71751">
      <w:r>
        <w:t>Dr. Mark Ruder,</w:t>
      </w:r>
      <w:r w:rsidR="0073246C">
        <w:t xml:space="preserve"> </w:t>
      </w:r>
      <w:r w:rsidR="0073246C">
        <w:rPr>
          <w:rFonts w:eastAsia="Times New Roman" w:cs="Arial"/>
        </w:rPr>
        <w:t>Southeastern Cooperative Wildlife Disease Study (SCWDS), University of Georgia, Athens, GA</w:t>
      </w:r>
    </w:p>
    <w:p w14:paraId="147E6B84" w14:textId="77777777" w:rsidR="0073246C" w:rsidRDefault="0073246C" w:rsidP="00E71751"/>
    <w:p w14:paraId="61AAB368" w14:textId="77777777" w:rsidR="0073246C" w:rsidRPr="005639EB" w:rsidRDefault="0073246C" w:rsidP="0073246C">
      <w:pPr>
        <w:rPr>
          <w:rFonts w:eastAsia="Times New Roman" w:cs="Arial"/>
        </w:rPr>
      </w:pPr>
      <w:r w:rsidRPr="005639EB">
        <w:rPr>
          <w:rFonts w:eastAsia="Times New Roman" w:cs="Arial"/>
        </w:rPr>
        <w:t xml:space="preserve">Annually, </w:t>
      </w:r>
      <w:r>
        <w:rPr>
          <w:rFonts w:eastAsia="Times New Roman" w:cs="Arial"/>
        </w:rPr>
        <w:t>SCWDS</w:t>
      </w:r>
      <w:r w:rsidRPr="005639EB">
        <w:rPr>
          <w:rFonts w:eastAsia="Times New Roman" w:cs="Arial"/>
        </w:rPr>
        <w:t xml:space="preserve"> </w:t>
      </w:r>
      <w:r>
        <w:rPr>
          <w:rFonts w:eastAsia="Times New Roman" w:cs="Arial"/>
        </w:rPr>
        <w:t xml:space="preserve">receives wild ruminant tissue samples submitted by state wildlife agency personnel </w:t>
      </w:r>
      <w:r w:rsidRPr="005639EB">
        <w:rPr>
          <w:rFonts w:eastAsia="Times New Roman" w:cs="Arial"/>
        </w:rPr>
        <w:t>from throughout the United States</w:t>
      </w:r>
      <w:r>
        <w:rPr>
          <w:rFonts w:eastAsia="Times New Roman" w:cs="Arial"/>
        </w:rPr>
        <w:t xml:space="preserve">. The samples are collected in the field from animals suspected to have died from </w:t>
      </w:r>
      <w:proofErr w:type="spellStart"/>
      <w:r w:rsidRPr="005639EB">
        <w:rPr>
          <w:rFonts w:eastAsia="Times New Roman" w:cs="Arial"/>
        </w:rPr>
        <w:t>orbiviral</w:t>
      </w:r>
      <w:proofErr w:type="spellEnd"/>
      <w:r w:rsidRPr="005639EB">
        <w:rPr>
          <w:rFonts w:eastAsia="Times New Roman" w:cs="Arial"/>
        </w:rPr>
        <w:t xml:space="preserve"> hemorrhagic disease. Submissions are initially tested for epizootic hemorrhagic disease virus (EHDV) and bluetongue virus (BTV) by real-time reverse transcription PCR (</w:t>
      </w:r>
      <w:proofErr w:type="spellStart"/>
      <w:r w:rsidRPr="005639EB">
        <w:rPr>
          <w:rFonts w:eastAsia="Times New Roman" w:cs="Arial"/>
        </w:rPr>
        <w:t>rRT</w:t>
      </w:r>
      <w:proofErr w:type="spellEnd"/>
      <w:r w:rsidRPr="005639EB">
        <w:rPr>
          <w:rFonts w:eastAsia="Times New Roman" w:cs="Arial"/>
        </w:rPr>
        <w:t xml:space="preserve">-PCR). For samples that test positive by </w:t>
      </w:r>
      <w:proofErr w:type="spellStart"/>
      <w:r>
        <w:rPr>
          <w:rFonts w:eastAsia="Times New Roman" w:cs="Arial"/>
        </w:rPr>
        <w:t>r</w:t>
      </w:r>
      <w:r w:rsidRPr="005639EB">
        <w:rPr>
          <w:rFonts w:eastAsia="Times New Roman" w:cs="Arial"/>
        </w:rPr>
        <w:t>RT</w:t>
      </w:r>
      <w:proofErr w:type="spellEnd"/>
      <w:r w:rsidRPr="005639EB">
        <w:rPr>
          <w:rFonts w:eastAsia="Times New Roman" w:cs="Arial"/>
        </w:rPr>
        <w:t>-PCR, virus isolation is attempted and isolates are identified to serotype. Samples with no virus isolate are not further typed. Samples are provided to NVSL, as needed.</w:t>
      </w:r>
    </w:p>
    <w:p w14:paraId="6CB19317" w14:textId="77777777" w:rsidR="0073246C" w:rsidRPr="005639EB" w:rsidRDefault="0073246C" w:rsidP="0073246C">
      <w:pPr>
        <w:tabs>
          <w:tab w:val="left" w:pos="-1126"/>
          <w:tab w:val="left" w:pos="-720"/>
          <w:tab w:val="left" w:pos="0"/>
          <w:tab w:val="left" w:pos="2322"/>
          <w:tab w:val="left" w:pos="2880"/>
          <w:tab w:val="left" w:pos="3600"/>
          <w:tab w:val="left" w:pos="4320"/>
          <w:tab w:val="left" w:pos="5040"/>
          <w:tab w:val="left" w:pos="5760"/>
          <w:tab w:val="left" w:pos="6480"/>
          <w:tab w:val="left" w:pos="7200"/>
          <w:tab w:val="left" w:pos="7920"/>
          <w:tab w:val="left" w:pos="8640"/>
          <w:tab w:val="left" w:pos="9360"/>
          <w:tab w:val="left" w:pos="9648"/>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eastAsia="Calibri" w:cs="Arial"/>
        </w:rPr>
      </w:pPr>
      <w:r w:rsidRPr="005639EB">
        <w:rPr>
          <w:rFonts w:eastAsia="Calibri" w:cs="Arial"/>
        </w:rPr>
        <w:t xml:space="preserve">During the 2022 EHDV and BTV transmission season, state wildlife agencies submitted tissue samples from 341 wild ruminants. The following viruses were isolated: EHDV-2 (Florida, Georgia, Illinois, Indiana, Kansas, Kentucky, Maryland, Michigan, Missouri, Montana, Nebraska, New Jersey, New York, North Carolina, Pennsylvania, Tennessee, Virginia, </w:t>
      </w:r>
      <w:r w:rsidRPr="005639EB">
        <w:rPr>
          <w:rFonts w:eastAsia="Calibri" w:cs="Arial"/>
        </w:rPr>
        <w:lastRenderedPageBreak/>
        <w:t xml:space="preserve">and West Virginia); EHDV-6 (Tennessee); BTV-11 (Maryland, North Carolina, Pennsylvania); BTV-12 (Kansas); BTV-13 (Kansas, Mississippi); BTV-17 (Delaware, Montana, North Carolina, Virginia, West Virginia).  </w:t>
      </w:r>
    </w:p>
    <w:p w14:paraId="7364D249" w14:textId="77777777" w:rsidR="0073246C" w:rsidRPr="00144DE6" w:rsidRDefault="0073246C" w:rsidP="0073246C">
      <w:pPr>
        <w:tabs>
          <w:tab w:val="left" w:pos="-1126"/>
          <w:tab w:val="left" w:pos="-720"/>
          <w:tab w:val="left" w:pos="0"/>
          <w:tab w:val="left" w:pos="2322"/>
          <w:tab w:val="left" w:pos="2880"/>
          <w:tab w:val="left" w:pos="3600"/>
          <w:tab w:val="left" w:pos="4320"/>
          <w:tab w:val="left" w:pos="5040"/>
          <w:tab w:val="left" w:pos="5760"/>
          <w:tab w:val="left" w:pos="6480"/>
          <w:tab w:val="left" w:pos="7200"/>
          <w:tab w:val="left" w:pos="7920"/>
          <w:tab w:val="left" w:pos="8640"/>
          <w:tab w:val="left" w:pos="9360"/>
          <w:tab w:val="left" w:pos="9648"/>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jc w:val="both"/>
        <w:rPr>
          <w:rFonts w:cs="Arial"/>
        </w:rPr>
      </w:pPr>
      <w:r w:rsidRPr="00144DE6">
        <w:rPr>
          <w:rFonts w:eastAsia="Calibri" w:cs="Arial"/>
        </w:rPr>
        <w:t xml:space="preserve">During the 2023 EHDV and BTV transmission season, SCWDS has received tissue samples from 185 wild ruminants as of October 2, 2023. Thus far, EHDV-2 has been isolated from </w:t>
      </w:r>
      <w:r>
        <w:rPr>
          <w:rFonts w:eastAsia="Calibri" w:cs="Arial"/>
        </w:rPr>
        <w:t>wild cervids</w:t>
      </w:r>
      <w:r w:rsidRPr="00144DE6">
        <w:rPr>
          <w:rFonts w:eastAsia="Calibri" w:cs="Arial"/>
        </w:rPr>
        <w:t xml:space="preserve"> in Georgia, Kansas, Kentucky, Missouri, North Carolina, Virginia, West Virginia, and Pennsylvania. </w:t>
      </w:r>
      <w:r w:rsidRPr="00144DE6">
        <w:rPr>
          <w:rFonts w:cs="Arial"/>
        </w:rPr>
        <w:t>Testing will continue on samples received through October and into early November.</w:t>
      </w:r>
    </w:p>
    <w:p w14:paraId="7DE44150" w14:textId="77777777" w:rsidR="0073246C" w:rsidRDefault="0073246C" w:rsidP="0073246C">
      <w:pPr>
        <w:rPr>
          <w:rFonts w:eastAsia="Times New Roman" w:cs="Arial"/>
        </w:rPr>
      </w:pPr>
    </w:p>
    <w:p w14:paraId="4FCEA58D" w14:textId="4C258106" w:rsidR="00E71751" w:rsidRPr="00E71751" w:rsidRDefault="00E71751" w:rsidP="00E71751">
      <w:pPr>
        <w:rPr>
          <w:b/>
          <w:bCs/>
        </w:rPr>
      </w:pPr>
      <w:r w:rsidRPr="00E71751">
        <w:rPr>
          <w:b/>
          <w:bCs/>
        </w:rPr>
        <w:t>NVSL Orbivirus Update</w:t>
      </w:r>
    </w:p>
    <w:p w14:paraId="59128CF2" w14:textId="41185C8F" w:rsidR="00E71751" w:rsidRDefault="00E71751" w:rsidP="00E71751">
      <w:r>
        <w:t>Dr. Mia Torchetti, Director, Diagnostic Virology Laboratory, National Veterinary Services Laboratory</w:t>
      </w:r>
    </w:p>
    <w:p w14:paraId="2EC42A2C" w14:textId="77777777" w:rsidR="00E71751" w:rsidRDefault="00E71751" w:rsidP="00E71751"/>
    <w:p w14:paraId="5B18B456" w14:textId="4B3CA08D" w:rsidR="00E71751" w:rsidRDefault="00E71751" w:rsidP="00E71751">
      <w:r w:rsidRPr="00E71751">
        <w:t xml:space="preserve">NVSL receives submissions predominantly for export testing from various states during the year for </w:t>
      </w:r>
      <w:proofErr w:type="spellStart"/>
      <w:r w:rsidRPr="00E71751">
        <w:t>orbivirus</w:t>
      </w:r>
      <w:proofErr w:type="spellEnd"/>
      <w:r w:rsidRPr="00E71751">
        <w:t xml:space="preserve"> testing. Submissions largely represent domestic or farmed animals with a smaller proportion of wildlife. In CY2022 ~646 submissions were received and in CY2023 ~675 submissions were received. The bluetongue findings during these two years are supported by the current </w:t>
      </w:r>
      <w:hyperlink r:id="rId5" w:anchor="collapsebe94db97-8b1a-45de-9a80-077dc53c977a" w:tgtFrame="_blank" w:history="1">
        <w:r w:rsidRPr="00E71751">
          <w:rPr>
            <w:rStyle w:val="Hyperlink"/>
          </w:rPr>
          <w:t>USDA categories</w:t>
        </w:r>
      </w:hyperlink>
      <w:r w:rsidRPr="00E71751">
        <w:t>. There have been no detections of the serotypes on the</w:t>
      </w:r>
      <w:r w:rsidRPr="00E71751">
        <w:rPr>
          <w:b/>
          <w:bCs/>
        </w:rPr>
        <w:t> Not reported </w:t>
      </w:r>
      <w:r w:rsidRPr="00E71751">
        <w:t>list (Serotypes 4, 7, 8, 16, 20, 21, 23, 25, 26). </w:t>
      </w:r>
      <w:r w:rsidRPr="00E71751">
        <w:rPr>
          <w:b/>
          <w:bCs/>
        </w:rPr>
        <w:t>Established</w:t>
      </w:r>
      <w:r w:rsidRPr="00E71751">
        <w:t> serotype findings include BTV6 in Iowa, BTV11 in Arizona and Iowa, BTV 13 in Arizona, Iowa, Idaho, and Texas, BTV17 in California. Additionally, mixed infections were detected in TX (11 and 13) and MN (11, 13, 17). BTV22 was identified from goats in Florida representing one of the </w:t>
      </w:r>
      <w:r w:rsidRPr="00E71751">
        <w:rPr>
          <w:b/>
          <w:bCs/>
        </w:rPr>
        <w:t>Reported </w:t>
      </w:r>
      <w:r w:rsidRPr="00E71751">
        <w:t>serotypes.  In CY2022, the same </w:t>
      </w:r>
      <w:r w:rsidRPr="00E71751">
        <w:rPr>
          <w:b/>
          <w:bCs/>
        </w:rPr>
        <w:t>Established</w:t>
      </w:r>
      <w:r w:rsidRPr="00E71751">
        <w:t> serotypes were detected in addition to BTV10 and 12. For EHD, serotypes 1 (TX) and 2 (IA KS MN OK VA) have been identified during CY2022-23.</w:t>
      </w:r>
    </w:p>
    <w:p w14:paraId="6FE80C39" w14:textId="3429E018" w:rsidR="00D42DFB" w:rsidRDefault="00D42DFB" w:rsidP="00E71751"/>
    <w:p w14:paraId="4586B616" w14:textId="276710F3" w:rsidR="00D42DFB" w:rsidRPr="00D42DFB" w:rsidRDefault="00D42DFB" w:rsidP="00E71751">
      <w:pPr>
        <w:rPr>
          <w:b/>
          <w:bCs/>
        </w:rPr>
      </w:pPr>
      <w:r w:rsidRPr="00D42DFB">
        <w:rPr>
          <w:b/>
          <w:bCs/>
        </w:rPr>
        <w:t>USDA APHIS Regulatory Equine Disease Report</w:t>
      </w:r>
    </w:p>
    <w:p w14:paraId="38020DC0" w14:textId="4E2FA341" w:rsidR="00D42DFB" w:rsidRDefault="00D42DFB" w:rsidP="00E71751">
      <w:r>
        <w:t>Dr. Angela Pelzel-McCluskey, Equine Epidemiologist, Strategy and Policy, USDA APHIS VS</w:t>
      </w:r>
    </w:p>
    <w:p w14:paraId="1496D952" w14:textId="7A1BD70F" w:rsidR="00D42DFB" w:rsidRDefault="00D42DFB" w:rsidP="00E71751"/>
    <w:p w14:paraId="1916441A" w14:textId="4B4BB66C" w:rsidR="00D42DFB" w:rsidRDefault="00D42DFB" w:rsidP="00E71751">
      <w:r>
        <w:t>See attached report.</w:t>
      </w:r>
    </w:p>
    <w:p w14:paraId="039E2447" w14:textId="64E275C2" w:rsidR="00C764F2" w:rsidRDefault="00C764F2" w:rsidP="00E71751"/>
    <w:p w14:paraId="558CD478" w14:textId="5C04ECE9" w:rsidR="0095554B" w:rsidRPr="00676D63" w:rsidRDefault="0095554B" w:rsidP="0095554B">
      <w:pPr>
        <w:rPr>
          <w:b/>
          <w:bCs/>
        </w:rPr>
      </w:pPr>
      <w:r w:rsidRPr="00676D63">
        <w:rPr>
          <w:b/>
          <w:bCs/>
        </w:rPr>
        <w:t xml:space="preserve">Committee Business: </w:t>
      </w:r>
    </w:p>
    <w:p w14:paraId="44019756" w14:textId="44E192D3" w:rsidR="00676D63" w:rsidRPr="00676D63" w:rsidRDefault="00676D63" w:rsidP="0095554B">
      <w:pPr>
        <w:rPr>
          <w:b/>
          <w:bCs/>
        </w:rPr>
      </w:pPr>
    </w:p>
    <w:p w14:paraId="1CCA9201" w14:textId="482A7730" w:rsidR="00676D63" w:rsidRPr="00676D63" w:rsidRDefault="00676D63" w:rsidP="0095554B">
      <w:r w:rsidRPr="00676D63">
        <w:t>Meeting called to order at 4:445PM</w:t>
      </w:r>
    </w:p>
    <w:p w14:paraId="202B478D" w14:textId="3764C144" w:rsidR="00676D63" w:rsidRPr="00676D63" w:rsidRDefault="00676D63" w:rsidP="0095554B"/>
    <w:p w14:paraId="2F572DC3" w14:textId="756D65C7" w:rsidR="00676D63" w:rsidRPr="00676D63" w:rsidRDefault="00676D63" w:rsidP="00676D63">
      <w:pPr>
        <w:pStyle w:val="ListParagraph"/>
        <w:numPr>
          <w:ilvl w:val="0"/>
          <w:numId w:val="13"/>
        </w:numPr>
      </w:pPr>
      <w:r w:rsidRPr="00676D63">
        <w:t>Review of mission</w:t>
      </w:r>
    </w:p>
    <w:p w14:paraId="00E669CD" w14:textId="135B4A43" w:rsidR="00676D63" w:rsidRPr="00676D63" w:rsidRDefault="00676D63" w:rsidP="00676D63">
      <w:pPr>
        <w:pStyle w:val="ListParagraph"/>
        <w:numPr>
          <w:ilvl w:val="0"/>
          <w:numId w:val="13"/>
        </w:numPr>
      </w:pPr>
      <w:r w:rsidRPr="00676D63">
        <w:t>Old Business – none</w:t>
      </w:r>
    </w:p>
    <w:p w14:paraId="059CFB4B" w14:textId="4E0E7C9B" w:rsidR="00676D63" w:rsidRPr="00676D63" w:rsidRDefault="00676D63" w:rsidP="00676D63">
      <w:pPr>
        <w:pStyle w:val="ListParagraph"/>
        <w:numPr>
          <w:ilvl w:val="0"/>
          <w:numId w:val="13"/>
        </w:numPr>
      </w:pPr>
      <w:r w:rsidRPr="00676D63">
        <w:t>New Business – none</w:t>
      </w:r>
    </w:p>
    <w:p w14:paraId="5C7C3669" w14:textId="70C6EFCD" w:rsidR="00676D63" w:rsidRPr="00676D63" w:rsidRDefault="00676D63" w:rsidP="00676D63">
      <w:pPr>
        <w:pStyle w:val="ListParagraph"/>
        <w:numPr>
          <w:ilvl w:val="0"/>
          <w:numId w:val="13"/>
        </w:numPr>
      </w:pPr>
      <w:r w:rsidRPr="00676D63">
        <w:t>Announcements</w:t>
      </w:r>
    </w:p>
    <w:p w14:paraId="1AEA74AD" w14:textId="2CFAF21F" w:rsidR="00676D63" w:rsidRPr="00676D63" w:rsidRDefault="00676D63" w:rsidP="00676D63">
      <w:pPr>
        <w:pStyle w:val="ListParagraph"/>
        <w:numPr>
          <w:ilvl w:val="1"/>
          <w:numId w:val="13"/>
        </w:numPr>
      </w:pPr>
      <w:r w:rsidRPr="00676D63">
        <w:t>Committee would like to have meetings during the year. Proposed topics from the membership included</w:t>
      </w:r>
    </w:p>
    <w:p w14:paraId="32274968" w14:textId="04B9472C" w:rsidR="00676D63" w:rsidRPr="00676D63" w:rsidRDefault="00676D63" w:rsidP="00676D63">
      <w:pPr>
        <w:pStyle w:val="ListParagraph"/>
        <w:numPr>
          <w:ilvl w:val="2"/>
          <w:numId w:val="13"/>
        </w:numPr>
      </w:pPr>
      <w:r w:rsidRPr="00676D63">
        <w:t>Screw worm update</w:t>
      </w:r>
    </w:p>
    <w:p w14:paraId="52EC1FFA" w14:textId="2BA65672" w:rsidR="00676D63" w:rsidRPr="00676D63" w:rsidRDefault="00676D63" w:rsidP="00676D63">
      <w:pPr>
        <w:pStyle w:val="ListParagraph"/>
        <w:numPr>
          <w:ilvl w:val="2"/>
          <w:numId w:val="13"/>
        </w:numPr>
      </w:pPr>
      <w:r w:rsidRPr="00676D63">
        <w:t xml:space="preserve">Climatic impact on prediction of </w:t>
      </w:r>
      <w:proofErr w:type="spellStart"/>
      <w:r>
        <w:t>Obivirus</w:t>
      </w:r>
      <w:proofErr w:type="spellEnd"/>
      <w:r w:rsidRPr="00676D63">
        <w:t xml:space="preserve"> diseases</w:t>
      </w:r>
    </w:p>
    <w:p w14:paraId="5920DAC9" w14:textId="77777777" w:rsidR="00676D63" w:rsidRPr="00676D63" w:rsidRDefault="00676D63" w:rsidP="00676D63">
      <w:pPr>
        <w:pStyle w:val="ListParagraph"/>
        <w:ind w:left="2160"/>
      </w:pPr>
    </w:p>
    <w:p w14:paraId="75527B93" w14:textId="30C4E99C" w:rsidR="00676D63" w:rsidRPr="00676D63" w:rsidRDefault="00676D63" w:rsidP="00676D63">
      <w:r w:rsidRPr="00676D63">
        <w:t>Meeting adjourned at 4:50PM</w:t>
      </w:r>
    </w:p>
    <w:p w14:paraId="33633737" w14:textId="77777777" w:rsidR="001E313B" w:rsidRPr="00D42DFB" w:rsidRDefault="001E313B" w:rsidP="0095554B">
      <w:pPr>
        <w:ind w:firstLine="360"/>
        <w:rPr>
          <w:i/>
          <w:iCs/>
          <w:highlight w:val="yellow"/>
        </w:rPr>
      </w:pP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877ADBC" w14:textId="77777777" w:rsidR="00D42DFB" w:rsidRDefault="0095554B" w:rsidP="00D42DFB">
      <w:pPr>
        <w:contextualSpacing/>
        <w:jc w:val="center"/>
      </w:pPr>
      <w:r>
        <w:t xml:space="preserve"> </w:t>
      </w:r>
    </w:p>
    <w:p w14:paraId="30C9F334" w14:textId="77777777" w:rsidR="00D42DFB" w:rsidRDefault="00D42DFB" w:rsidP="00D42DFB">
      <w:pPr>
        <w:contextualSpacing/>
        <w:jc w:val="center"/>
      </w:pPr>
    </w:p>
    <w:p w14:paraId="3298DD68" w14:textId="77777777" w:rsidR="00D42DFB" w:rsidRDefault="00D42DFB" w:rsidP="00D42DFB">
      <w:pPr>
        <w:contextualSpacing/>
        <w:jc w:val="center"/>
      </w:pPr>
    </w:p>
    <w:p w14:paraId="209DF16D" w14:textId="77777777" w:rsidR="00D42DFB" w:rsidRDefault="00D42DFB" w:rsidP="00D42DFB">
      <w:pPr>
        <w:contextualSpacing/>
        <w:jc w:val="center"/>
      </w:pPr>
    </w:p>
    <w:p w14:paraId="4ADE1D31" w14:textId="77777777" w:rsidR="00D42DFB" w:rsidRDefault="00D42DFB" w:rsidP="00D42DFB">
      <w:pPr>
        <w:contextualSpacing/>
        <w:jc w:val="center"/>
      </w:pPr>
    </w:p>
    <w:p w14:paraId="5AA293D0" w14:textId="77777777" w:rsidR="00D42DFB" w:rsidRDefault="00D42DFB" w:rsidP="00D42DFB">
      <w:pPr>
        <w:contextualSpacing/>
        <w:jc w:val="center"/>
      </w:pPr>
    </w:p>
    <w:p w14:paraId="6334D85C" w14:textId="77777777" w:rsidR="00D42DFB" w:rsidRDefault="00D42DFB" w:rsidP="00D42DFB">
      <w:pPr>
        <w:contextualSpacing/>
        <w:jc w:val="center"/>
      </w:pPr>
    </w:p>
    <w:p w14:paraId="7AAECB32" w14:textId="77777777" w:rsidR="00D42DFB" w:rsidRDefault="00D42DFB" w:rsidP="00D42DFB">
      <w:pPr>
        <w:contextualSpacing/>
        <w:jc w:val="center"/>
      </w:pPr>
    </w:p>
    <w:p w14:paraId="4DD92DDD" w14:textId="77777777" w:rsidR="00D42DFB" w:rsidRDefault="00D42DFB" w:rsidP="00D42DFB">
      <w:pPr>
        <w:contextualSpacing/>
        <w:jc w:val="center"/>
      </w:pPr>
    </w:p>
    <w:p w14:paraId="57A81AE8" w14:textId="77777777" w:rsidR="00D42DFB" w:rsidRDefault="00D42DFB" w:rsidP="00D42DFB">
      <w:pPr>
        <w:contextualSpacing/>
        <w:jc w:val="center"/>
      </w:pPr>
    </w:p>
    <w:p w14:paraId="622E195A" w14:textId="77777777" w:rsidR="00D42DFB" w:rsidRDefault="00D42DFB" w:rsidP="00D42DFB">
      <w:pPr>
        <w:contextualSpacing/>
        <w:jc w:val="center"/>
      </w:pPr>
    </w:p>
    <w:p w14:paraId="2630A97F" w14:textId="77777777" w:rsidR="00D42DFB" w:rsidRDefault="00D42DFB" w:rsidP="00D42DFB">
      <w:pPr>
        <w:contextualSpacing/>
        <w:jc w:val="center"/>
      </w:pPr>
    </w:p>
    <w:p w14:paraId="311E16E2" w14:textId="77777777" w:rsidR="00D42DFB" w:rsidRDefault="00D42DFB" w:rsidP="00D42DFB">
      <w:pPr>
        <w:contextualSpacing/>
        <w:jc w:val="center"/>
      </w:pPr>
    </w:p>
    <w:p w14:paraId="1739FDE1" w14:textId="77777777" w:rsidR="00D42DFB" w:rsidRDefault="00D42DFB" w:rsidP="00D42DFB">
      <w:pPr>
        <w:contextualSpacing/>
        <w:jc w:val="center"/>
      </w:pPr>
    </w:p>
    <w:p w14:paraId="2D9D79BB" w14:textId="77777777" w:rsidR="00D42DFB" w:rsidRDefault="00D42DFB" w:rsidP="00D42DFB">
      <w:pPr>
        <w:contextualSpacing/>
        <w:jc w:val="center"/>
      </w:pPr>
    </w:p>
    <w:p w14:paraId="644D1F24" w14:textId="77777777" w:rsidR="00D42DFB" w:rsidRDefault="00D42DFB" w:rsidP="00D42DFB">
      <w:pPr>
        <w:contextualSpacing/>
        <w:jc w:val="center"/>
      </w:pPr>
    </w:p>
    <w:p w14:paraId="7CE70751" w14:textId="77777777" w:rsidR="00D42DFB" w:rsidRDefault="00D42DFB" w:rsidP="00D42DFB">
      <w:pPr>
        <w:contextualSpacing/>
        <w:jc w:val="center"/>
      </w:pPr>
    </w:p>
    <w:p w14:paraId="08672F7B" w14:textId="77777777" w:rsidR="00D42DFB" w:rsidRDefault="00D42DFB" w:rsidP="00D42DFB">
      <w:pPr>
        <w:contextualSpacing/>
        <w:jc w:val="center"/>
      </w:pPr>
    </w:p>
    <w:p w14:paraId="6D364B47" w14:textId="77777777" w:rsidR="00D42DFB" w:rsidRDefault="00D42DFB" w:rsidP="00D42DFB">
      <w:pPr>
        <w:contextualSpacing/>
        <w:jc w:val="center"/>
      </w:pPr>
    </w:p>
    <w:p w14:paraId="204D0A39" w14:textId="46BFE432" w:rsidR="00D42DFB" w:rsidRDefault="00D42DFB" w:rsidP="00D42DFB">
      <w:pPr>
        <w:contextualSpacing/>
        <w:jc w:val="center"/>
        <w:rPr>
          <w:rFonts w:ascii="Times New Roman" w:hAnsi="Times New Roman"/>
          <w:b/>
          <w:sz w:val="24"/>
          <w:szCs w:val="24"/>
        </w:rPr>
      </w:pPr>
      <w:r>
        <w:rPr>
          <w:rFonts w:ascii="Times New Roman" w:hAnsi="Times New Roman"/>
          <w:b/>
          <w:sz w:val="24"/>
          <w:szCs w:val="24"/>
        </w:rPr>
        <w:lastRenderedPageBreak/>
        <w:t>USDA-APHIS Regulatory Equine Disease Report</w:t>
      </w:r>
    </w:p>
    <w:p w14:paraId="468DFB62" w14:textId="77777777" w:rsidR="00D42DFB" w:rsidRDefault="00D42DFB" w:rsidP="00D42DFB">
      <w:pPr>
        <w:contextualSpacing/>
        <w:jc w:val="center"/>
        <w:rPr>
          <w:rFonts w:ascii="Times New Roman" w:hAnsi="Times New Roman"/>
          <w:b/>
          <w:sz w:val="24"/>
          <w:szCs w:val="24"/>
        </w:rPr>
      </w:pPr>
      <w:r>
        <w:rPr>
          <w:rFonts w:ascii="Times New Roman" w:hAnsi="Times New Roman"/>
          <w:b/>
          <w:sz w:val="24"/>
          <w:szCs w:val="24"/>
        </w:rPr>
        <w:t>for the USAHA-Committee on Parasitic and Vector-Borne Diseases</w:t>
      </w:r>
    </w:p>
    <w:p w14:paraId="4FF1ADCD" w14:textId="77777777" w:rsidR="00D42DFB" w:rsidRDefault="00D42DFB" w:rsidP="00D42DFB">
      <w:pPr>
        <w:contextualSpacing/>
        <w:jc w:val="center"/>
        <w:rPr>
          <w:rFonts w:ascii="Times New Roman" w:hAnsi="Times New Roman"/>
          <w:b/>
          <w:sz w:val="24"/>
          <w:szCs w:val="24"/>
        </w:rPr>
      </w:pPr>
    </w:p>
    <w:p w14:paraId="05A56B17" w14:textId="77777777" w:rsidR="00D42DFB" w:rsidRDefault="00D42DFB" w:rsidP="00D42DFB">
      <w:pPr>
        <w:contextualSpacing/>
        <w:jc w:val="center"/>
        <w:rPr>
          <w:rFonts w:ascii="Times New Roman" w:hAnsi="Times New Roman"/>
          <w:b/>
          <w:sz w:val="24"/>
          <w:szCs w:val="24"/>
        </w:rPr>
      </w:pPr>
      <w:r>
        <w:rPr>
          <w:rFonts w:ascii="Times New Roman" w:hAnsi="Times New Roman"/>
          <w:b/>
          <w:sz w:val="24"/>
          <w:szCs w:val="24"/>
        </w:rPr>
        <w:t>Angela Pelzel-McCluskey, DVM, MS</w:t>
      </w:r>
    </w:p>
    <w:p w14:paraId="360A0E20" w14:textId="77777777" w:rsidR="00D42DFB" w:rsidRDefault="00D42DFB" w:rsidP="00D42DFB">
      <w:pPr>
        <w:contextualSpacing/>
        <w:jc w:val="center"/>
        <w:rPr>
          <w:rFonts w:ascii="Times New Roman" w:hAnsi="Times New Roman"/>
          <w:b/>
          <w:sz w:val="24"/>
          <w:szCs w:val="24"/>
        </w:rPr>
      </w:pPr>
      <w:r>
        <w:rPr>
          <w:rFonts w:ascii="Times New Roman" w:hAnsi="Times New Roman"/>
          <w:b/>
          <w:sz w:val="24"/>
          <w:szCs w:val="24"/>
        </w:rPr>
        <w:t>USDA-APHIS-Veterinary Services</w:t>
      </w:r>
    </w:p>
    <w:p w14:paraId="3ACCA104" w14:textId="77777777" w:rsidR="00D42DFB" w:rsidRDefault="00D42DFB" w:rsidP="00D42DFB">
      <w:pPr>
        <w:contextualSpacing/>
        <w:jc w:val="center"/>
        <w:rPr>
          <w:rFonts w:ascii="Times New Roman" w:hAnsi="Times New Roman"/>
          <w:b/>
          <w:sz w:val="24"/>
          <w:szCs w:val="24"/>
        </w:rPr>
      </w:pPr>
      <w:r>
        <w:rPr>
          <w:rFonts w:ascii="Times New Roman" w:hAnsi="Times New Roman"/>
          <w:b/>
          <w:sz w:val="24"/>
          <w:szCs w:val="24"/>
        </w:rPr>
        <w:t>September 2023</w:t>
      </w:r>
    </w:p>
    <w:p w14:paraId="5749E38E" w14:textId="77777777" w:rsidR="00D42DFB" w:rsidRDefault="00D42DFB" w:rsidP="00D42DFB">
      <w:pPr>
        <w:contextualSpacing/>
        <w:rPr>
          <w:rFonts w:ascii="Times New Roman" w:hAnsi="Times New Roman"/>
          <w:b/>
          <w:sz w:val="24"/>
          <w:szCs w:val="24"/>
        </w:rPr>
      </w:pPr>
    </w:p>
    <w:p w14:paraId="48AB94E7" w14:textId="77777777" w:rsidR="00D42DFB" w:rsidRDefault="00D42DFB" w:rsidP="00D42DFB">
      <w:pPr>
        <w:contextualSpacing/>
        <w:rPr>
          <w:rFonts w:ascii="Times New Roman" w:hAnsi="Times New Roman"/>
          <w:b/>
          <w:sz w:val="24"/>
          <w:szCs w:val="24"/>
        </w:rPr>
      </w:pPr>
      <w:r>
        <w:rPr>
          <w:rFonts w:ascii="Times New Roman" w:hAnsi="Times New Roman"/>
          <w:b/>
          <w:sz w:val="24"/>
          <w:szCs w:val="24"/>
        </w:rPr>
        <w:t>Vesicular Stomatitis (VS)</w:t>
      </w:r>
    </w:p>
    <w:p w14:paraId="797C4558" w14:textId="77777777" w:rsidR="00D42DFB" w:rsidRDefault="00D42DFB" w:rsidP="00D42DFB">
      <w:pPr>
        <w:contextualSpacing/>
        <w:rPr>
          <w:rStyle w:val="Hyperlink"/>
          <w:rFonts w:ascii="Times New Roman" w:hAnsi="Times New Roman"/>
          <w:sz w:val="24"/>
          <w:szCs w:val="24"/>
        </w:rPr>
      </w:pPr>
      <w:r>
        <w:rPr>
          <w:rStyle w:val="Hyperlink"/>
          <w:rFonts w:ascii="Times New Roman" w:hAnsi="Times New Roman"/>
          <w:sz w:val="24"/>
          <w:szCs w:val="24"/>
        </w:rPr>
        <w:t xml:space="preserve">In 2023, the U.S. experienced a new outbreak of vesicular stomatitis virus (VSV), New Jersey serotype, in three states, California, Nevada, and Texas, which began in May and continues to date (late September).  The previous most recent outbreaks of VSV occurred in 2019 and 2020 and were predominantly cases of VSV Indiana serotype, although a small number of cases in south Texas in 2020 were attributed to a separate incursion of VSV New Jersey serotype. </w:t>
      </w:r>
    </w:p>
    <w:p w14:paraId="2F7D4299" w14:textId="77777777" w:rsidR="00D42DFB" w:rsidRDefault="00D42DFB" w:rsidP="00D42DFB">
      <w:pPr>
        <w:contextualSpacing/>
        <w:rPr>
          <w:rStyle w:val="Hyperlink"/>
          <w:rFonts w:ascii="Times New Roman" w:hAnsi="Times New Roman"/>
          <w:sz w:val="24"/>
          <w:szCs w:val="24"/>
        </w:rPr>
      </w:pPr>
    </w:p>
    <w:p w14:paraId="7370A459" w14:textId="77777777" w:rsidR="00D42DFB" w:rsidRDefault="00D42DFB" w:rsidP="00D42DFB">
      <w:pPr>
        <w:contextualSpacing/>
        <w:rPr>
          <w:rFonts w:ascii="Times New Roman" w:hAnsi="Times New Roman"/>
          <w:sz w:val="24"/>
          <w:szCs w:val="24"/>
        </w:rPr>
      </w:pPr>
      <w:r>
        <w:rPr>
          <w:rStyle w:val="Hyperlink"/>
          <w:rFonts w:ascii="Times New Roman" w:hAnsi="Times New Roman"/>
          <w:sz w:val="24"/>
          <w:szCs w:val="24"/>
        </w:rPr>
        <w:t>The 2023 VSV outbreak began May 17</w:t>
      </w:r>
      <w:r w:rsidRPr="00700185">
        <w:rPr>
          <w:rStyle w:val="Hyperlink"/>
          <w:rFonts w:ascii="Times New Roman" w:hAnsi="Times New Roman"/>
          <w:sz w:val="24"/>
          <w:szCs w:val="24"/>
          <w:vertAlign w:val="superscript"/>
        </w:rPr>
        <w:t>th</w:t>
      </w:r>
      <w:r>
        <w:rPr>
          <w:rStyle w:val="Hyperlink"/>
          <w:rFonts w:ascii="Times New Roman" w:hAnsi="Times New Roman"/>
          <w:sz w:val="24"/>
          <w:szCs w:val="24"/>
        </w:rPr>
        <w:t xml:space="preserve"> when the index case located on an equine premises in San Diego County, California, was confirmed by the National Veterinary Services Laboratories (NVSL).   </w:t>
      </w:r>
      <w:r w:rsidRPr="00A97235">
        <w:rPr>
          <w:rFonts w:ascii="Times New Roman" w:hAnsi="Times New Roman"/>
          <w:sz w:val="24"/>
          <w:szCs w:val="24"/>
        </w:rPr>
        <w:t xml:space="preserve">Texas was subsequently confirmed VSV-positive by NVSL on June 15, 2023 (Maverick County, Texas) and Nevada was confirmed VSV-positive by NVSL on July 27, 2023 (White Pine County, Nevada). </w:t>
      </w:r>
    </w:p>
    <w:p w14:paraId="435DD016" w14:textId="77777777" w:rsidR="00D42DFB" w:rsidRDefault="00D42DFB" w:rsidP="00D42DFB">
      <w:pPr>
        <w:contextualSpacing/>
        <w:rPr>
          <w:rFonts w:ascii="Times New Roman" w:hAnsi="Times New Roman"/>
          <w:sz w:val="24"/>
          <w:szCs w:val="24"/>
        </w:rPr>
      </w:pPr>
    </w:p>
    <w:p w14:paraId="0104A93F" w14:textId="77777777" w:rsidR="00D42DFB" w:rsidRPr="00A54156" w:rsidRDefault="00D42DFB" w:rsidP="00D42DFB">
      <w:pPr>
        <w:contextualSpacing/>
        <w:rPr>
          <w:rFonts w:ascii="Times New Roman" w:hAnsi="Times New Roman"/>
          <w:sz w:val="24"/>
          <w:szCs w:val="24"/>
        </w:rPr>
      </w:pPr>
      <w:r>
        <w:rPr>
          <w:rFonts w:ascii="Times New Roman" w:hAnsi="Times New Roman"/>
          <w:sz w:val="24"/>
          <w:szCs w:val="24"/>
        </w:rPr>
        <w:t>As of the September 29</w:t>
      </w:r>
      <w:r>
        <w:rPr>
          <w:rFonts w:ascii="Times New Roman" w:hAnsi="Times New Roman"/>
          <w:sz w:val="24"/>
          <w:szCs w:val="24"/>
          <w:vertAlign w:val="superscript"/>
        </w:rPr>
        <w:t>th</w:t>
      </w:r>
      <w:r>
        <w:rPr>
          <w:rFonts w:ascii="Times New Roman" w:hAnsi="Times New Roman"/>
          <w:sz w:val="24"/>
          <w:szCs w:val="24"/>
        </w:rPr>
        <w:t xml:space="preserve"> VSV Situation Report, a total of </w:t>
      </w:r>
      <w:r w:rsidRPr="00E55B21">
        <w:rPr>
          <w:rFonts w:ascii="Times New Roman" w:hAnsi="Times New Roman"/>
          <w:bCs/>
          <w:sz w:val="24"/>
          <w:szCs w:val="24"/>
        </w:rPr>
        <w:t>20</w:t>
      </w:r>
      <w:r>
        <w:rPr>
          <w:rFonts w:ascii="Times New Roman" w:hAnsi="Times New Roman"/>
          <w:bCs/>
          <w:sz w:val="24"/>
          <w:szCs w:val="24"/>
        </w:rPr>
        <w:t>3</w:t>
      </w:r>
      <w:r w:rsidRPr="00E55B21">
        <w:rPr>
          <w:rFonts w:ascii="Times New Roman" w:hAnsi="Times New Roman"/>
          <w:bCs/>
          <w:sz w:val="24"/>
          <w:szCs w:val="24"/>
        </w:rPr>
        <w:t xml:space="preserve"> VSV-affected premises have been identified (</w:t>
      </w:r>
      <w:r>
        <w:rPr>
          <w:rFonts w:ascii="Times New Roman" w:hAnsi="Times New Roman"/>
          <w:bCs/>
          <w:sz w:val="24"/>
          <w:szCs w:val="24"/>
        </w:rPr>
        <w:t>70</w:t>
      </w:r>
      <w:r w:rsidRPr="00E55B21">
        <w:rPr>
          <w:rFonts w:ascii="Times New Roman" w:hAnsi="Times New Roman"/>
          <w:bCs/>
          <w:sz w:val="24"/>
          <w:szCs w:val="24"/>
        </w:rPr>
        <w:t xml:space="preserve"> confirmed positive, 133 suspect) in </w:t>
      </w:r>
      <w:r>
        <w:rPr>
          <w:rFonts w:ascii="Times New Roman" w:hAnsi="Times New Roman"/>
          <w:bCs/>
          <w:sz w:val="24"/>
          <w:szCs w:val="24"/>
        </w:rPr>
        <w:t xml:space="preserve">the </w:t>
      </w:r>
      <w:r w:rsidRPr="00E55B21">
        <w:rPr>
          <w:rFonts w:ascii="Times New Roman" w:hAnsi="Times New Roman"/>
          <w:bCs/>
          <w:sz w:val="24"/>
          <w:szCs w:val="24"/>
        </w:rPr>
        <w:t xml:space="preserve">3 </w:t>
      </w:r>
      <w:r>
        <w:rPr>
          <w:rFonts w:ascii="Times New Roman" w:hAnsi="Times New Roman"/>
          <w:bCs/>
          <w:sz w:val="24"/>
          <w:szCs w:val="24"/>
        </w:rPr>
        <w:t xml:space="preserve">affected </w:t>
      </w:r>
      <w:r w:rsidRPr="00E55B21">
        <w:rPr>
          <w:rFonts w:ascii="Times New Roman" w:hAnsi="Times New Roman"/>
          <w:bCs/>
          <w:sz w:val="24"/>
          <w:szCs w:val="24"/>
        </w:rPr>
        <w:t xml:space="preserve">states, California, Nevada, and Texas.  </w:t>
      </w:r>
      <w:r w:rsidRPr="00A54156">
        <w:rPr>
          <w:rFonts w:ascii="Times New Roman" w:hAnsi="Times New Roman"/>
          <w:sz w:val="24"/>
          <w:szCs w:val="24"/>
        </w:rPr>
        <w:t>One hundred ninety-</w:t>
      </w:r>
      <w:r>
        <w:rPr>
          <w:rFonts w:ascii="Times New Roman" w:hAnsi="Times New Roman"/>
          <w:sz w:val="24"/>
          <w:szCs w:val="24"/>
        </w:rPr>
        <w:t>nine</w:t>
      </w:r>
      <w:r w:rsidRPr="00A54156">
        <w:rPr>
          <w:rFonts w:ascii="Times New Roman" w:hAnsi="Times New Roman"/>
          <w:sz w:val="24"/>
          <w:szCs w:val="24"/>
        </w:rPr>
        <w:t xml:space="preserve"> (19</w:t>
      </w:r>
      <w:r>
        <w:rPr>
          <w:rFonts w:ascii="Times New Roman" w:hAnsi="Times New Roman"/>
          <w:sz w:val="24"/>
          <w:szCs w:val="24"/>
        </w:rPr>
        <w:t>9</w:t>
      </w:r>
      <w:r w:rsidRPr="00A54156">
        <w:rPr>
          <w:rFonts w:ascii="Times New Roman" w:hAnsi="Times New Roman"/>
          <w:sz w:val="24"/>
          <w:szCs w:val="24"/>
        </w:rPr>
        <w:t xml:space="preserve">) of these premises have had only equine species clinically affected, three (3) premises have had clinically affected cattle (San Diego County and Santa Barbara County, California), and one (1) premises has had clinically affected rhinoceros (San Diego County, California). </w:t>
      </w:r>
    </w:p>
    <w:p w14:paraId="2ADD93C7" w14:textId="77777777" w:rsidR="00D42DFB" w:rsidRPr="00A54156" w:rsidRDefault="00D42DFB" w:rsidP="00D42DFB">
      <w:pPr>
        <w:contextualSpacing/>
        <w:rPr>
          <w:rFonts w:ascii="Times New Roman" w:hAnsi="Times New Roman"/>
          <w:sz w:val="24"/>
          <w:szCs w:val="24"/>
        </w:rPr>
      </w:pPr>
    </w:p>
    <w:p w14:paraId="117B147C" w14:textId="77777777" w:rsidR="00D42DFB" w:rsidRPr="00A54156" w:rsidRDefault="00D42DFB" w:rsidP="00D42DFB">
      <w:pPr>
        <w:contextualSpacing/>
        <w:rPr>
          <w:rFonts w:ascii="Times New Roman" w:hAnsi="Times New Roman"/>
          <w:sz w:val="24"/>
          <w:szCs w:val="24"/>
        </w:rPr>
      </w:pPr>
      <w:r>
        <w:rPr>
          <w:rFonts w:ascii="Times New Roman" w:hAnsi="Times New Roman"/>
          <w:sz w:val="24"/>
          <w:szCs w:val="24"/>
        </w:rPr>
        <w:t xml:space="preserve">State breakdown of the cases counts are as follows:  </w:t>
      </w:r>
      <w:r w:rsidRPr="00A54156">
        <w:rPr>
          <w:rFonts w:ascii="Times New Roman" w:hAnsi="Times New Roman"/>
          <w:sz w:val="24"/>
          <w:szCs w:val="24"/>
        </w:rPr>
        <w:t xml:space="preserve">California has identified </w:t>
      </w:r>
      <w:r>
        <w:rPr>
          <w:rFonts w:ascii="Times New Roman" w:hAnsi="Times New Roman"/>
          <w:sz w:val="24"/>
          <w:szCs w:val="24"/>
        </w:rPr>
        <w:t>200</w:t>
      </w:r>
      <w:r w:rsidRPr="00A54156">
        <w:rPr>
          <w:rFonts w:ascii="Times New Roman" w:hAnsi="Times New Roman"/>
          <w:sz w:val="24"/>
          <w:szCs w:val="24"/>
        </w:rPr>
        <w:t xml:space="preserve"> affected premises (6</w:t>
      </w:r>
      <w:r>
        <w:rPr>
          <w:rFonts w:ascii="Times New Roman" w:hAnsi="Times New Roman"/>
          <w:sz w:val="24"/>
          <w:szCs w:val="24"/>
        </w:rPr>
        <w:t>7</w:t>
      </w:r>
      <w:r w:rsidRPr="00A54156">
        <w:rPr>
          <w:rFonts w:ascii="Times New Roman" w:hAnsi="Times New Roman"/>
          <w:sz w:val="24"/>
          <w:szCs w:val="24"/>
        </w:rPr>
        <w:t xml:space="preserve"> confirmed positive, 133 suspect) in </w:t>
      </w:r>
      <w:r>
        <w:rPr>
          <w:rFonts w:ascii="Times New Roman" w:hAnsi="Times New Roman"/>
          <w:sz w:val="24"/>
          <w:szCs w:val="24"/>
        </w:rPr>
        <w:t>10</w:t>
      </w:r>
      <w:r w:rsidRPr="00A54156">
        <w:rPr>
          <w:rFonts w:ascii="Times New Roman" w:hAnsi="Times New Roman"/>
          <w:sz w:val="24"/>
          <w:szCs w:val="24"/>
        </w:rPr>
        <w:t xml:space="preserve"> counties (Fresno, Los Angeles, Orange, Riverside, San Bernardino, San Diego, San Luis Obispo, Santa Barbara, </w:t>
      </w:r>
      <w:r>
        <w:rPr>
          <w:rFonts w:ascii="Times New Roman" w:hAnsi="Times New Roman"/>
          <w:sz w:val="24"/>
          <w:szCs w:val="24"/>
        </w:rPr>
        <w:t xml:space="preserve">Tulare, </w:t>
      </w:r>
      <w:r w:rsidRPr="00A54156">
        <w:rPr>
          <w:rFonts w:ascii="Times New Roman" w:hAnsi="Times New Roman"/>
          <w:sz w:val="24"/>
          <w:szCs w:val="24"/>
        </w:rPr>
        <w:t xml:space="preserve">and Ventura Counties).  Texas identified 2 affected premises (2 confirmed positive) in 2 counties (Maverick and Shackelford Counties).  Nevada identified 1 affected premises (1 confirmed positive) in 1 county (White Pine County, Nevada).  </w:t>
      </w:r>
    </w:p>
    <w:p w14:paraId="39CD9A33" w14:textId="77777777" w:rsidR="00D42DFB" w:rsidRPr="00A54156" w:rsidRDefault="00D42DFB" w:rsidP="00D42DFB">
      <w:pPr>
        <w:contextualSpacing/>
        <w:rPr>
          <w:rFonts w:ascii="Times New Roman" w:hAnsi="Times New Roman"/>
          <w:sz w:val="24"/>
          <w:szCs w:val="24"/>
        </w:rPr>
      </w:pPr>
    </w:p>
    <w:p w14:paraId="1FA15AC0" w14:textId="77777777" w:rsidR="00D42DFB" w:rsidRDefault="00D42DFB" w:rsidP="00D42DFB">
      <w:pPr>
        <w:contextualSpacing/>
        <w:rPr>
          <w:rFonts w:ascii="Times New Roman" w:hAnsi="Times New Roman"/>
          <w:sz w:val="24"/>
          <w:szCs w:val="24"/>
        </w:rPr>
      </w:pPr>
      <w:r w:rsidRPr="00B2581A">
        <w:rPr>
          <w:rFonts w:ascii="Times New Roman" w:hAnsi="Times New Roman"/>
          <w:sz w:val="24"/>
          <w:szCs w:val="24"/>
        </w:rPr>
        <w:t>Control measures on VSV suspect and confirmed positive premises include</w:t>
      </w:r>
      <w:r>
        <w:rPr>
          <w:rFonts w:ascii="Times New Roman" w:hAnsi="Times New Roman"/>
          <w:sz w:val="24"/>
          <w:szCs w:val="24"/>
        </w:rPr>
        <w:t>d</w:t>
      </w:r>
      <w:r w:rsidRPr="00B2581A">
        <w:rPr>
          <w:rFonts w:ascii="Times New Roman" w:hAnsi="Times New Roman"/>
          <w:sz w:val="24"/>
          <w:szCs w:val="24"/>
        </w:rPr>
        <w:t xml:space="preserve"> quarantine of all susceptible species, isolation of lesioned animals, enhanced biosecurity, and vector mitigation measures to reduce within-herd spread. </w:t>
      </w:r>
      <w:r>
        <w:rPr>
          <w:rFonts w:ascii="Times New Roman" w:hAnsi="Times New Roman"/>
          <w:sz w:val="24"/>
          <w:szCs w:val="24"/>
        </w:rPr>
        <w:t>Affected p</w:t>
      </w:r>
      <w:r w:rsidRPr="008B3979">
        <w:rPr>
          <w:rFonts w:ascii="Times New Roman" w:hAnsi="Times New Roman"/>
          <w:sz w:val="24"/>
          <w:szCs w:val="24"/>
        </w:rPr>
        <w:t xml:space="preserve">remises </w:t>
      </w:r>
      <w:r>
        <w:rPr>
          <w:rFonts w:ascii="Times New Roman" w:hAnsi="Times New Roman"/>
          <w:sz w:val="24"/>
          <w:szCs w:val="24"/>
        </w:rPr>
        <w:t>were</w:t>
      </w:r>
      <w:r w:rsidRPr="008B3979">
        <w:rPr>
          <w:rFonts w:ascii="Times New Roman" w:hAnsi="Times New Roman"/>
          <w:sz w:val="24"/>
          <w:szCs w:val="24"/>
        </w:rPr>
        <w:t xml:space="preserve"> quarantined for at least 14 days from the onset of lesions in the last affected animal on the premises. </w:t>
      </w:r>
      <w:r>
        <w:rPr>
          <w:rFonts w:ascii="Times New Roman" w:hAnsi="Times New Roman"/>
          <w:sz w:val="24"/>
          <w:szCs w:val="24"/>
        </w:rPr>
        <w:t>As of the September 29</w:t>
      </w:r>
      <w:r>
        <w:rPr>
          <w:rFonts w:ascii="Times New Roman" w:hAnsi="Times New Roman"/>
          <w:sz w:val="24"/>
          <w:szCs w:val="24"/>
          <w:vertAlign w:val="superscript"/>
        </w:rPr>
        <w:t>th</w:t>
      </w:r>
      <w:r>
        <w:rPr>
          <w:rFonts w:ascii="Times New Roman" w:hAnsi="Times New Roman"/>
          <w:sz w:val="24"/>
          <w:szCs w:val="24"/>
        </w:rPr>
        <w:t xml:space="preserve"> situation report, o</w:t>
      </w:r>
      <w:r w:rsidRPr="00A54156">
        <w:rPr>
          <w:rFonts w:ascii="Times New Roman" w:hAnsi="Times New Roman"/>
          <w:sz w:val="24"/>
          <w:szCs w:val="24"/>
        </w:rPr>
        <w:t>f the 20</w:t>
      </w:r>
      <w:r>
        <w:rPr>
          <w:rFonts w:ascii="Times New Roman" w:hAnsi="Times New Roman"/>
          <w:sz w:val="24"/>
          <w:szCs w:val="24"/>
        </w:rPr>
        <w:t>3</w:t>
      </w:r>
      <w:r w:rsidRPr="00A54156">
        <w:rPr>
          <w:rFonts w:ascii="Times New Roman" w:hAnsi="Times New Roman"/>
          <w:sz w:val="24"/>
          <w:szCs w:val="24"/>
        </w:rPr>
        <w:t xml:space="preserve"> total VSV-affected premises, 20</w:t>
      </w:r>
      <w:r>
        <w:rPr>
          <w:rFonts w:ascii="Times New Roman" w:hAnsi="Times New Roman"/>
          <w:sz w:val="24"/>
          <w:szCs w:val="24"/>
        </w:rPr>
        <w:t>1</w:t>
      </w:r>
      <w:r w:rsidRPr="00A54156">
        <w:rPr>
          <w:rFonts w:ascii="Times New Roman" w:hAnsi="Times New Roman"/>
          <w:sz w:val="24"/>
          <w:szCs w:val="24"/>
        </w:rPr>
        <w:t xml:space="preserve"> premises have completed the quarantine period with no new clinical cases and have been released from quarantine</w:t>
      </w:r>
      <w:r>
        <w:rPr>
          <w:rFonts w:ascii="Times New Roman" w:hAnsi="Times New Roman"/>
          <w:sz w:val="24"/>
          <w:szCs w:val="24"/>
        </w:rPr>
        <w:t xml:space="preserve"> and 2</w:t>
      </w:r>
      <w:r w:rsidRPr="00A54156">
        <w:rPr>
          <w:rFonts w:ascii="Times New Roman" w:hAnsi="Times New Roman"/>
          <w:sz w:val="24"/>
          <w:szCs w:val="24"/>
        </w:rPr>
        <w:t xml:space="preserve"> premises remain quarantined</w:t>
      </w:r>
      <w:r>
        <w:rPr>
          <w:rFonts w:ascii="Times New Roman" w:hAnsi="Times New Roman"/>
          <w:sz w:val="24"/>
          <w:szCs w:val="24"/>
        </w:rPr>
        <w:t xml:space="preserve"> in California</w:t>
      </w:r>
      <w:r w:rsidRPr="00A54156">
        <w:rPr>
          <w:rFonts w:ascii="Times New Roman" w:hAnsi="Times New Roman"/>
          <w:sz w:val="24"/>
          <w:szCs w:val="24"/>
        </w:rPr>
        <w:t xml:space="preserve">.  </w:t>
      </w:r>
      <w:r>
        <w:rPr>
          <w:rFonts w:ascii="Times New Roman" w:hAnsi="Times New Roman"/>
          <w:sz w:val="24"/>
          <w:szCs w:val="24"/>
        </w:rPr>
        <w:t>Nevada released all quarantines as of August 9</w:t>
      </w:r>
      <w:r w:rsidRPr="00E2049B">
        <w:rPr>
          <w:rFonts w:ascii="Times New Roman" w:hAnsi="Times New Roman"/>
          <w:sz w:val="24"/>
          <w:szCs w:val="24"/>
          <w:vertAlign w:val="superscript"/>
        </w:rPr>
        <w:t>th</w:t>
      </w:r>
      <w:r>
        <w:rPr>
          <w:rFonts w:ascii="Times New Roman" w:hAnsi="Times New Roman"/>
          <w:sz w:val="24"/>
          <w:szCs w:val="24"/>
        </w:rPr>
        <w:t xml:space="preserve"> and Texas released all quarantines as of August 22</w:t>
      </w:r>
      <w:r w:rsidRPr="00E2049B">
        <w:rPr>
          <w:rFonts w:ascii="Times New Roman" w:hAnsi="Times New Roman"/>
          <w:sz w:val="24"/>
          <w:szCs w:val="24"/>
          <w:vertAlign w:val="superscript"/>
        </w:rPr>
        <w:t>nd</w:t>
      </w:r>
      <w:r>
        <w:rPr>
          <w:rFonts w:ascii="Times New Roman" w:hAnsi="Times New Roman"/>
          <w:sz w:val="24"/>
          <w:szCs w:val="24"/>
        </w:rPr>
        <w:t>.  The situation in California is ongoing.</w:t>
      </w:r>
    </w:p>
    <w:p w14:paraId="0C234D2C" w14:textId="77777777" w:rsidR="00D42DFB" w:rsidRPr="00463FE4" w:rsidRDefault="00D42DFB" w:rsidP="00D42DFB">
      <w:pPr>
        <w:contextualSpacing/>
        <w:rPr>
          <w:rStyle w:val="Hyperlink"/>
          <w:rFonts w:ascii="Times New Roman" w:hAnsi="Times New Roman"/>
          <w:sz w:val="24"/>
          <w:szCs w:val="24"/>
        </w:rPr>
      </w:pPr>
      <w:r>
        <w:rPr>
          <w:rFonts w:ascii="Times New Roman" w:hAnsi="Times New Roman"/>
          <w:sz w:val="24"/>
          <w:szCs w:val="24"/>
        </w:rPr>
        <w:t>Complete situation reports including maps for the 2023 VSV outbreak can be accessed on the USDA-APHIS website:</w:t>
      </w:r>
      <w:r>
        <w:rPr>
          <w:rStyle w:val="Hyperlink"/>
          <w:rFonts w:ascii="Times New Roman" w:hAnsi="Times New Roman"/>
          <w:sz w:val="24"/>
          <w:szCs w:val="24"/>
        </w:rPr>
        <w:t xml:space="preserve"> </w:t>
      </w:r>
      <w:r w:rsidRPr="00F74C46">
        <w:rPr>
          <w:rStyle w:val="Hyperlink"/>
          <w:rFonts w:ascii="Times New Roman" w:hAnsi="Times New Roman"/>
          <w:sz w:val="24"/>
          <w:szCs w:val="24"/>
        </w:rPr>
        <w:t>https://www.aphis.usda.gov/aphis/ourfocus/animalhealth/animal-disease-information/equine/vsv/vesicular-stomatitis</w:t>
      </w:r>
    </w:p>
    <w:p w14:paraId="41544728" w14:textId="77777777" w:rsidR="00D42DFB" w:rsidRDefault="00D42DFB" w:rsidP="00D42DFB">
      <w:pPr>
        <w:contextualSpacing/>
        <w:rPr>
          <w:rFonts w:ascii="Times New Roman" w:hAnsi="Times New Roman"/>
          <w:sz w:val="24"/>
          <w:szCs w:val="24"/>
        </w:rPr>
      </w:pPr>
    </w:p>
    <w:p w14:paraId="593AAFE2" w14:textId="77777777" w:rsidR="00D42DFB" w:rsidRDefault="00D42DFB" w:rsidP="00D42DFB">
      <w:pPr>
        <w:contextualSpacing/>
        <w:rPr>
          <w:rFonts w:ascii="Times New Roman" w:hAnsi="Times New Roman"/>
          <w:b/>
          <w:sz w:val="24"/>
          <w:szCs w:val="24"/>
        </w:rPr>
      </w:pPr>
      <w:r w:rsidRPr="00443FEF">
        <w:rPr>
          <w:rFonts w:ascii="Times New Roman" w:hAnsi="Times New Roman"/>
          <w:b/>
          <w:sz w:val="24"/>
          <w:szCs w:val="24"/>
        </w:rPr>
        <w:t>Update on Equine Piroplasmosis (EP) and Equine Infectious Anemia (EIA)</w:t>
      </w:r>
    </w:p>
    <w:p w14:paraId="3B7A4F96" w14:textId="77777777" w:rsidR="00D42DFB" w:rsidRDefault="00D42DFB" w:rsidP="00D42DFB">
      <w:pPr>
        <w:contextualSpacing/>
        <w:rPr>
          <w:rFonts w:ascii="Times New Roman" w:hAnsi="Times New Roman"/>
          <w:sz w:val="24"/>
          <w:szCs w:val="24"/>
        </w:rPr>
      </w:pPr>
    </w:p>
    <w:p w14:paraId="5E4C0934" w14:textId="77777777" w:rsidR="00D42DFB" w:rsidRDefault="00D42DFB" w:rsidP="00D42DFB">
      <w:pPr>
        <w:contextualSpacing/>
        <w:rPr>
          <w:rFonts w:ascii="Times New Roman" w:hAnsi="Times New Roman"/>
          <w:sz w:val="24"/>
          <w:szCs w:val="24"/>
        </w:rPr>
      </w:pPr>
      <w:r>
        <w:rPr>
          <w:rFonts w:ascii="Times New Roman" w:hAnsi="Times New Roman"/>
          <w:sz w:val="24"/>
          <w:szCs w:val="24"/>
        </w:rPr>
        <w:t xml:space="preserve">In calendar year 2022, there were 19,831 domestic U.S. horses tested for equine piroplasmosis (EP) as part of active ongoing surveillance.  While a significant portion of the testing focused on the previously identified high-risk groups of sanctioned and unsanctioned Quarter Horse (QH) racehorses where iatrogenic transmission of the disease is well recognized, many other types of horses were also tested for interstate movement, clinical disease rule-out, change of ownership, and export.  A total of 23 horses were found to be EP-infected (21 </w:t>
      </w:r>
      <w:proofErr w:type="spellStart"/>
      <w:r w:rsidRPr="008C7633">
        <w:rPr>
          <w:rFonts w:ascii="Times New Roman" w:hAnsi="Times New Roman"/>
          <w:i/>
          <w:sz w:val="24"/>
          <w:szCs w:val="24"/>
        </w:rPr>
        <w:t>Theileria</w:t>
      </w:r>
      <w:proofErr w:type="spellEnd"/>
      <w:r w:rsidRPr="008C7633">
        <w:rPr>
          <w:rFonts w:ascii="Times New Roman" w:hAnsi="Times New Roman"/>
          <w:i/>
          <w:sz w:val="24"/>
          <w:szCs w:val="24"/>
        </w:rPr>
        <w:t xml:space="preserve"> </w:t>
      </w:r>
      <w:proofErr w:type="spellStart"/>
      <w:r w:rsidRPr="008C7633">
        <w:rPr>
          <w:rFonts w:ascii="Times New Roman" w:hAnsi="Times New Roman"/>
          <w:i/>
          <w:sz w:val="24"/>
          <w:szCs w:val="24"/>
        </w:rPr>
        <w:t>equi</w:t>
      </w:r>
      <w:proofErr w:type="spellEnd"/>
      <w:r>
        <w:rPr>
          <w:rFonts w:ascii="Times New Roman" w:hAnsi="Times New Roman"/>
          <w:i/>
          <w:sz w:val="24"/>
          <w:szCs w:val="24"/>
        </w:rPr>
        <w:t xml:space="preserve">, </w:t>
      </w:r>
      <w:r w:rsidRPr="006A1D6C">
        <w:rPr>
          <w:rFonts w:ascii="Times New Roman" w:hAnsi="Times New Roman"/>
          <w:iCs/>
          <w:sz w:val="24"/>
          <w:szCs w:val="24"/>
        </w:rPr>
        <w:t xml:space="preserve">1 </w:t>
      </w:r>
      <w:r>
        <w:rPr>
          <w:rFonts w:ascii="Times New Roman" w:hAnsi="Times New Roman"/>
          <w:i/>
          <w:sz w:val="24"/>
          <w:szCs w:val="24"/>
        </w:rPr>
        <w:t xml:space="preserve">Babesia </w:t>
      </w:r>
      <w:proofErr w:type="spellStart"/>
      <w:r>
        <w:rPr>
          <w:rFonts w:ascii="Times New Roman" w:hAnsi="Times New Roman"/>
          <w:i/>
          <w:sz w:val="24"/>
          <w:szCs w:val="24"/>
        </w:rPr>
        <w:t>caballi</w:t>
      </w:r>
      <w:proofErr w:type="spellEnd"/>
      <w:r>
        <w:rPr>
          <w:rFonts w:ascii="Times New Roman" w:hAnsi="Times New Roman"/>
          <w:i/>
          <w:sz w:val="24"/>
          <w:szCs w:val="24"/>
        </w:rPr>
        <w:t xml:space="preserve">, </w:t>
      </w:r>
      <w:r w:rsidRPr="006A1D6C">
        <w:rPr>
          <w:rFonts w:ascii="Times New Roman" w:hAnsi="Times New Roman"/>
          <w:iCs/>
          <w:sz w:val="24"/>
          <w:szCs w:val="24"/>
        </w:rPr>
        <w:t>1</w:t>
      </w:r>
      <w:r>
        <w:rPr>
          <w:rFonts w:ascii="Times New Roman" w:hAnsi="Times New Roman"/>
          <w:i/>
          <w:sz w:val="24"/>
          <w:szCs w:val="24"/>
        </w:rPr>
        <w:t xml:space="preserve"> </w:t>
      </w:r>
      <w:r>
        <w:rPr>
          <w:rFonts w:ascii="Times New Roman" w:hAnsi="Times New Roman"/>
          <w:iCs/>
          <w:sz w:val="24"/>
          <w:szCs w:val="24"/>
        </w:rPr>
        <w:t xml:space="preserve">both </w:t>
      </w:r>
      <w:r w:rsidRPr="006A1D6C">
        <w:rPr>
          <w:rFonts w:ascii="Times New Roman" w:hAnsi="Times New Roman"/>
          <w:i/>
          <w:sz w:val="24"/>
          <w:szCs w:val="24"/>
        </w:rPr>
        <w:t xml:space="preserve">T. </w:t>
      </w:r>
      <w:proofErr w:type="spellStart"/>
      <w:r w:rsidRPr="006A1D6C">
        <w:rPr>
          <w:rFonts w:ascii="Times New Roman" w:hAnsi="Times New Roman"/>
          <w:i/>
          <w:sz w:val="24"/>
          <w:szCs w:val="24"/>
        </w:rPr>
        <w:t>equi</w:t>
      </w:r>
      <w:proofErr w:type="spellEnd"/>
      <w:r w:rsidRPr="006A1D6C">
        <w:rPr>
          <w:rFonts w:ascii="Times New Roman" w:hAnsi="Times New Roman"/>
          <w:i/>
          <w:sz w:val="24"/>
          <w:szCs w:val="24"/>
        </w:rPr>
        <w:t xml:space="preserve">/B. </w:t>
      </w:r>
      <w:proofErr w:type="spellStart"/>
      <w:r w:rsidRPr="006A1D6C">
        <w:rPr>
          <w:rFonts w:ascii="Times New Roman" w:hAnsi="Times New Roman"/>
          <w:i/>
          <w:sz w:val="24"/>
          <w:szCs w:val="24"/>
        </w:rPr>
        <w:t>caballi</w:t>
      </w:r>
      <w:proofErr w:type="spellEnd"/>
      <w:r>
        <w:rPr>
          <w:rFonts w:ascii="Times New Roman" w:hAnsi="Times New Roman"/>
          <w:iCs/>
          <w:sz w:val="24"/>
          <w:szCs w:val="24"/>
        </w:rPr>
        <w:t>)</w:t>
      </w:r>
      <w:r>
        <w:rPr>
          <w:rFonts w:ascii="Times New Roman" w:hAnsi="Times New Roman"/>
          <w:sz w:val="24"/>
          <w:szCs w:val="24"/>
        </w:rPr>
        <w:t xml:space="preserve"> during this time period in 8 states (Arizona, Colorado, Indiana, Louisiana, North Carolina, Oklahoma, South Carolina, and Texas).  </w:t>
      </w:r>
      <w:r w:rsidRPr="00385ADC">
        <w:rPr>
          <w:rFonts w:ascii="Times New Roman" w:hAnsi="Times New Roman"/>
          <w:sz w:val="24"/>
          <w:szCs w:val="24"/>
        </w:rPr>
        <w:t>Fifteen (15) of the</w:t>
      </w:r>
      <w:r>
        <w:rPr>
          <w:rFonts w:ascii="Times New Roman" w:hAnsi="Times New Roman"/>
          <w:sz w:val="24"/>
          <w:szCs w:val="24"/>
        </w:rPr>
        <w:t xml:space="preserve"> 23 </w:t>
      </w:r>
      <w:r w:rsidRPr="00385ADC">
        <w:rPr>
          <w:rFonts w:ascii="Times New Roman" w:hAnsi="Times New Roman"/>
          <w:sz w:val="24"/>
          <w:szCs w:val="24"/>
        </w:rPr>
        <w:t>horses were Q</w:t>
      </w:r>
      <w:r>
        <w:rPr>
          <w:rFonts w:ascii="Times New Roman" w:hAnsi="Times New Roman"/>
          <w:sz w:val="24"/>
          <w:szCs w:val="24"/>
        </w:rPr>
        <w:t>H</w:t>
      </w:r>
      <w:r w:rsidRPr="00385ADC">
        <w:rPr>
          <w:rFonts w:ascii="Times New Roman" w:hAnsi="Times New Roman"/>
          <w:sz w:val="24"/>
          <w:szCs w:val="24"/>
        </w:rPr>
        <w:t xml:space="preserve"> racehorses with iatrogenic transmission involved in the epidemiology </w:t>
      </w:r>
      <w:r w:rsidRPr="00385ADC">
        <w:rPr>
          <w:rFonts w:ascii="Times New Roman" w:hAnsi="Times New Roman"/>
          <w:sz w:val="24"/>
          <w:szCs w:val="24"/>
        </w:rPr>
        <w:lastRenderedPageBreak/>
        <w:t xml:space="preserve">of the infection, 1 horse was a 2-year-old unraced colt born to a </w:t>
      </w:r>
      <w:proofErr w:type="spellStart"/>
      <w:proofErr w:type="gramStart"/>
      <w:r w:rsidRPr="00063CE8">
        <w:rPr>
          <w:rFonts w:ascii="Times New Roman" w:hAnsi="Times New Roman"/>
          <w:i/>
          <w:iCs/>
          <w:sz w:val="24"/>
          <w:szCs w:val="24"/>
        </w:rPr>
        <w:t>T.equi</w:t>
      </w:r>
      <w:proofErr w:type="spellEnd"/>
      <w:proofErr w:type="gramEnd"/>
      <w:r w:rsidRPr="00385ADC">
        <w:rPr>
          <w:rFonts w:ascii="Times New Roman" w:hAnsi="Times New Roman"/>
          <w:sz w:val="24"/>
          <w:szCs w:val="24"/>
        </w:rPr>
        <w:t>-infected QH race mare</w:t>
      </w:r>
      <w:r>
        <w:rPr>
          <w:rFonts w:ascii="Times New Roman" w:hAnsi="Times New Roman"/>
          <w:sz w:val="24"/>
          <w:szCs w:val="24"/>
        </w:rPr>
        <w:t xml:space="preserve"> in which</w:t>
      </w:r>
      <w:r w:rsidRPr="00385ADC">
        <w:rPr>
          <w:rFonts w:ascii="Times New Roman" w:hAnsi="Times New Roman"/>
          <w:sz w:val="24"/>
          <w:szCs w:val="24"/>
        </w:rPr>
        <w:t xml:space="preserve"> </w:t>
      </w:r>
      <w:r w:rsidRPr="001A5690">
        <w:rPr>
          <w:rFonts w:ascii="Times New Roman" w:hAnsi="Times New Roman"/>
          <w:i/>
          <w:iCs/>
          <w:sz w:val="24"/>
          <w:szCs w:val="24"/>
        </w:rPr>
        <w:t>in utero</w:t>
      </w:r>
      <w:r w:rsidRPr="00385ADC">
        <w:rPr>
          <w:rFonts w:ascii="Times New Roman" w:hAnsi="Times New Roman"/>
          <w:sz w:val="24"/>
          <w:szCs w:val="24"/>
        </w:rPr>
        <w:t xml:space="preserve"> transmission is suspected, and 7 horses (1 Andalusian, 1 warmblood, 3 Argentinian Polo Ponies, 1 QH saddle horse, 1 grade saddle horse) were suspected or confirmed to have been illegally moved from Mexico.  </w:t>
      </w:r>
      <w:r>
        <w:rPr>
          <w:rFonts w:ascii="Times New Roman" w:hAnsi="Times New Roman"/>
          <w:sz w:val="24"/>
          <w:szCs w:val="24"/>
        </w:rPr>
        <w:t>In the iatrogenic transmission cases, needle/syringe/IV set reuse between horses was a common finding.  Other methods of iatrogenic spread routinely encountered in EP investigations include blood-contamination of multi-dose drug vials, administration of illegal blood and plasma products originating outside the U.S., and direct blood transfusion between horses for the purpose of increasing athletic performance.</w:t>
      </w:r>
      <w:r w:rsidRPr="00B17222">
        <w:rPr>
          <w:rFonts w:ascii="Times New Roman" w:hAnsi="Times New Roman"/>
          <w:sz w:val="24"/>
          <w:szCs w:val="24"/>
        </w:rPr>
        <w:t xml:space="preserve"> </w:t>
      </w:r>
      <w:r w:rsidRPr="00385ADC">
        <w:rPr>
          <w:rFonts w:ascii="Times New Roman" w:hAnsi="Times New Roman"/>
          <w:sz w:val="24"/>
          <w:szCs w:val="24"/>
        </w:rPr>
        <w:t>Three (3) of the 23 EP-positive horses were found to be dual infected with EIA</w:t>
      </w:r>
      <w:r>
        <w:rPr>
          <w:rFonts w:ascii="Times New Roman" w:hAnsi="Times New Roman"/>
          <w:sz w:val="24"/>
          <w:szCs w:val="24"/>
        </w:rPr>
        <w:t>,</w:t>
      </w:r>
      <w:r w:rsidRPr="00385ADC">
        <w:rPr>
          <w:rFonts w:ascii="Times New Roman" w:hAnsi="Times New Roman"/>
          <w:sz w:val="24"/>
          <w:szCs w:val="24"/>
        </w:rPr>
        <w:t xml:space="preserve"> which was likely transmitted by iatrogenic infection in the QH racehorses (2 cases) and by natural infection in Mexico for the dual infected horse illegally moved from Mexico (1 case). </w:t>
      </w:r>
      <w:r>
        <w:rPr>
          <w:rFonts w:ascii="Times New Roman" w:hAnsi="Times New Roman"/>
          <w:sz w:val="24"/>
          <w:szCs w:val="24"/>
        </w:rPr>
        <w:t xml:space="preserve"> </w:t>
      </w:r>
    </w:p>
    <w:p w14:paraId="2609F652" w14:textId="77777777" w:rsidR="00D42DFB" w:rsidRDefault="00D42DFB" w:rsidP="00D42DFB">
      <w:pPr>
        <w:contextualSpacing/>
        <w:rPr>
          <w:rFonts w:ascii="Times New Roman" w:hAnsi="Times New Roman"/>
          <w:sz w:val="24"/>
          <w:szCs w:val="24"/>
        </w:rPr>
      </w:pPr>
    </w:p>
    <w:p w14:paraId="673B66E0" w14:textId="77777777" w:rsidR="00D42DFB" w:rsidRDefault="00D42DFB" w:rsidP="00D42DFB">
      <w:pPr>
        <w:contextualSpacing/>
        <w:rPr>
          <w:rFonts w:ascii="Times New Roman" w:hAnsi="Times New Roman"/>
          <w:sz w:val="24"/>
          <w:szCs w:val="24"/>
        </w:rPr>
      </w:pPr>
      <w:r w:rsidRPr="00C34E80">
        <w:rPr>
          <w:rFonts w:ascii="Times New Roman" w:hAnsi="Times New Roman"/>
          <w:sz w:val="24"/>
          <w:szCs w:val="24"/>
        </w:rPr>
        <w:t>So far in calendar year 2023,</w:t>
      </w:r>
      <w:r>
        <w:rPr>
          <w:rFonts w:ascii="Times New Roman" w:hAnsi="Times New Roman"/>
          <w:sz w:val="24"/>
          <w:szCs w:val="24"/>
        </w:rPr>
        <w:t xml:space="preserve"> a total of 9 </w:t>
      </w:r>
      <w:r w:rsidRPr="005E4447">
        <w:rPr>
          <w:rFonts w:ascii="Times New Roman" w:hAnsi="Times New Roman"/>
          <w:i/>
          <w:iCs/>
          <w:sz w:val="24"/>
          <w:szCs w:val="24"/>
        </w:rPr>
        <w:t xml:space="preserve">T. </w:t>
      </w:r>
      <w:proofErr w:type="spellStart"/>
      <w:r w:rsidRPr="005E4447">
        <w:rPr>
          <w:rFonts w:ascii="Times New Roman" w:hAnsi="Times New Roman"/>
          <w:i/>
          <w:iCs/>
          <w:sz w:val="24"/>
          <w:szCs w:val="24"/>
        </w:rPr>
        <w:t>equi</w:t>
      </w:r>
      <w:proofErr w:type="spellEnd"/>
      <w:r w:rsidRPr="005E4447">
        <w:rPr>
          <w:rFonts w:ascii="Times New Roman" w:hAnsi="Times New Roman"/>
          <w:i/>
          <w:iCs/>
          <w:sz w:val="24"/>
          <w:szCs w:val="24"/>
        </w:rPr>
        <w:t>-</w:t>
      </w:r>
      <w:r>
        <w:rPr>
          <w:rFonts w:ascii="Times New Roman" w:hAnsi="Times New Roman"/>
          <w:sz w:val="24"/>
          <w:szCs w:val="24"/>
        </w:rPr>
        <w:t xml:space="preserve">positive cases have been found in 5 states (Florida, New Mexico, North Carolina, Oklahoma, and Texas) as of September 15, 2023.  Six (6) horses are current or former Quarter Horse racehorses with iatrogenic transmission of the disease either suspected or confirmed and most of the cases have a history of involvement in unsanctioned racing.  Two (2) of the EP-positive horses (1 QH and 1 Costa Rican Saddle Horse) were illegally moved from Mexico and 1 QH is still under investigation to determine disease source.  Two (2) of the total 9 EP-positive horses were found to be co-infected with EIA.  The horses that were co-infected with both EP and EIA have been euthanized and most of the remaining EP-positive horses have been enrolled in the USDA-APHIS EP Treatment Program.  All EP-positive horses will remain quarantined until permanent clearance of the </w:t>
      </w:r>
      <w:r>
        <w:rPr>
          <w:rFonts w:ascii="Times New Roman" w:hAnsi="Times New Roman"/>
          <w:iCs/>
          <w:sz w:val="24"/>
          <w:szCs w:val="24"/>
        </w:rPr>
        <w:t xml:space="preserve">EP-organisms </w:t>
      </w:r>
      <w:r>
        <w:rPr>
          <w:rFonts w:ascii="Times New Roman" w:hAnsi="Times New Roman"/>
          <w:sz w:val="24"/>
          <w:szCs w:val="24"/>
        </w:rPr>
        <w:t xml:space="preserve">through high-dose imidocarb dipropionate treatment is achieved and the horse maintains </w:t>
      </w:r>
      <w:r>
        <w:rPr>
          <w:rFonts w:ascii="Times New Roman" w:hAnsi="Times New Roman"/>
          <w:iCs/>
          <w:sz w:val="24"/>
          <w:szCs w:val="24"/>
        </w:rPr>
        <w:t>EP</w:t>
      </w:r>
      <w:r>
        <w:rPr>
          <w:rFonts w:ascii="Times New Roman" w:hAnsi="Times New Roman"/>
          <w:sz w:val="24"/>
          <w:szCs w:val="24"/>
        </w:rPr>
        <w:t>-negative status on all diagnostic testing.  To date, there have been 395 horses treated in the U.S. for EP with 345 horses having met the clearance and test-negative criteria required for quarantine release.</w:t>
      </w:r>
    </w:p>
    <w:p w14:paraId="6CE69D54" w14:textId="77777777" w:rsidR="00D42DFB" w:rsidRDefault="00D42DFB" w:rsidP="00D42DFB">
      <w:pPr>
        <w:contextualSpacing/>
        <w:rPr>
          <w:rFonts w:ascii="Times New Roman" w:hAnsi="Times New Roman"/>
          <w:sz w:val="24"/>
          <w:szCs w:val="24"/>
        </w:rPr>
      </w:pPr>
    </w:p>
    <w:p w14:paraId="662E8651" w14:textId="77777777" w:rsidR="00D42DFB" w:rsidRDefault="00D42DFB" w:rsidP="00D42DFB">
      <w:pPr>
        <w:contextualSpacing/>
        <w:rPr>
          <w:rFonts w:ascii="Times New Roman" w:hAnsi="Times New Roman"/>
          <w:sz w:val="24"/>
          <w:szCs w:val="24"/>
        </w:rPr>
      </w:pPr>
      <w:r w:rsidRPr="00F450C0">
        <w:rPr>
          <w:rFonts w:ascii="Times New Roman" w:hAnsi="Times New Roman"/>
          <w:sz w:val="24"/>
          <w:szCs w:val="24"/>
        </w:rPr>
        <w:t>In calendar year 202</w:t>
      </w:r>
      <w:r>
        <w:rPr>
          <w:rFonts w:ascii="Times New Roman" w:hAnsi="Times New Roman"/>
          <w:sz w:val="24"/>
          <w:szCs w:val="24"/>
        </w:rPr>
        <w:t>2</w:t>
      </w:r>
      <w:r w:rsidRPr="00F450C0">
        <w:rPr>
          <w:rFonts w:ascii="Times New Roman" w:hAnsi="Times New Roman"/>
          <w:sz w:val="24"/>
          <w:szCs w:val="24"/>
        </w:rPr>
        <w:t>, a tot</w:t>
      </w:r>
      <w:r w:rsidRPr="00170508">
        <w:rPr>
          <w:rFonts w:ascii="Times New Roman" w:hAnsi="Times New Roman"/>
          <w:sz w:val="24"/>
          <w:szCs w:val="24"/>
        </w:rPr>
        <w:t>al of 1,</w:t>
      </w:r>
      <w:r>
        <w:rPr>
          <w:rFonts w:ascii="Times New Roman" w:hAnsi="Times New Roman"/>
          <w:sz w:val="24"/>
          <w:szCs w:val="24"/>
        </w:rPr>
        <w:t xml:space="preserve">349,759 EIA tests were conducted in the U.S. with 96 horses confirmed as EIA-positive in 16 states (Arizona, California, Colorado, Georgia, Illinois, Iowa, Kentucky, Missouri, Nevada, New Mexico, North Carolina, Ohio, South Carolina, Texas, Utah, and Washington).  Eighty-four (84) of the 96 EIA cases occurred in QH racehorses with iatrogenic transmission either suspected or confirmed to have been the source of spread.  Of the remaining 12 EIA cases, </w:t>
      </w:r>
      <w:r w:rsidRPr="00124CC9">
        <w:rPr>
          <w:rFonts w:ascii="Times New Roman" w:hAnsi="Times New Roman"/>
          <w:sz w:val="24"/>
          <w:szCs w:val="24"/>
        </w:rPr>
        <w:t xml:space="preserve">1 originated from </w:t>
      </w:r>
      <w:r>
        <w:rPr>
          <w:rFonts w:ascii="Times New Roman" w:hAnsi="Times New Roman"/>
          <w:sz w:val="24"/>
          <w:szCs w:val="24"/>
        </w:rPr>
        <w:t xml:space="preserve">an </w:t>
      </w:r>
      <w:r w:rsidRPr="00124CC9">
        <w:rPr>
          <w:rFonts w:ascii="Times New Roman" w:hAnsi="Times New Roman"/>
          <w:sz w:val="24"/>
          <w:szCs w:val="24"/>
        </w:rPr>
        <w:t>untested/undertested herd where natural transmission was likely occurring over a long period of time</w:t>
      </w:r>
      <w:r>
        <w:rPr>
          <w:rFonts w:ascii="Times New Roman" w:hAnsi="Times New Roman"/>
          <w:sz w:val="24"/>
          <w:szCs w:val="24"/>
        </w:rPr>
        <w:t>,</w:t>
      </w:r>
      <w:r w:rsidRPr="00124CC9">
        <w:rPr>
          <w:rFonts w:ascii="Times New Roman" w:hAnsi="Times New Roman"/>
          <w:sz w:val="24"/>
          <w:szCs w:val="24"/>
        </w:rPr>
        <w:t xml:space="preserve"> f</w:t>
      </w:r>
      <w:r>
        <w:rPr>
          <w:rFonts w:ascii="Times New Roman" w:hAnsi="Times New Roman"/>
          <w:sz w:val="24"/>
          <w:szCs w:val="24"/>
        </w:rPr>
        <w:t>our</w:t>
      </w:r>
      <w:r w:rsidRPr="00124CC9">
        <w:rPr>
          <w:rFonts w:ascii="Times New Roman" w:hAnsi="Times New Roman"/>
          <w:sz w:val="24"/>
          <w:szCs w:val="24"/>
        </w:rPr>
        <w:t xml:space="preserve"> (</w:t>
      </w:r>
      <w:r>
        <w:rPr>
          <w:rFonts w:ascii="Times New Roman" w:hAnsi="Times New Roman"/>
          <w:sz w:val="24"/>
          <w:szCs w:val="24"/>
        </w:rPr>
        <w:t>4</w:t>
      </w:r>
      <w:r w:rsidRPr="00124CC9">
        <w:rPr>
          <w:rFonts w:ascii="Times New Roman" w:hAnsi="Times New Roman"/>
          <w:sz w:val="24"/>
          <w:szCs w:val="24"/>
        </w:rPr>
        <w:t xml:space="preserve">) horses were suspected or confirmed to have been illegally moved into the U.S. from Mexico; and </w:t>
      </w:r>
      <w:r>
        <w:rPr>
          <w:rFonts w:ascii="Times New Roman" w:hAnsi="Times New Roman"/>
          <w:sz w:val="24"/>
          <w:szCs w:val="24"/>
        </w:rPr>
        <w:t>seven</w:t>
      </w:r>
      <w:r w:rsidRPr="00124CC9">
        <w:rPr>
          <w:rFonts w:ascii="Times New Roman" w:hAnsi="Times New Roman"/>
          <w:sz w:val="24"/>
          <w:szCs w:val="24"/>
        </w:rPr>
        <w:t xml:space="preserve"> (</w:t>
      </w:r>
      <w:r>
        <w:rPr>
          <w:rFonts w:ascii="Times New Roman" w:hAnsi="Times New Roman"/>
          <w:sz w:val="24"/>
          <w:szCs w:val="24"/>
        </w:rPr>
        <w:t>7</w:t>
      </w:r>
      <w:r w:rsidRPr="00124CC9">
        <w:rPr>
          <w:rFonts w:ascii="Times New Roman" w:hAnsi="Times New Roman"/>
          <w:sz w:val="24"/>
          <w:szCs w:val="24"/>
        </w:rPr>
        <w:t>) horses were infected from a</w:t>
      </w:r>
      <w:r w:rsidRPr="00D42D54">
        <w:rPr>
          <w:rFonts w:ascii="Times New Roman" w:hAnsi="Times New Roman"/>
          <w:sz w:val="24"/>
          <w:szCs w:val="24"/>
        </w:rPr>
        <w:t>n unknown/undetermined source.  So far in 202</w:t>
      </w:r>
      <w:r>
        <w:rPr>
          <w:rFonts w:ascii="Times New Roman" w:hAnsi="Times New Roman"/>
          <w:sz w:val="24"/>
          <w:szCs w:val="24"/>
        </w:rPr>
        <w:t>3</w:t>
      </w:r>
      <w:r w:rsidRPr="00D42D54">
        <w:rPr>
          <w:rFonts w:ascii="Times New Roman" w:hAnsi="Times New Roman"/>
          <w:sz w:val="24"/>
          <w:szCs w:val="24"/>
        </w:rPr>
        <w:t xml:space="preserve">, there have been at least </w:t>
      </w:r>
      <w:r>
        <w:rPr>
          <w:rFonts w:ascii="Times New Roman" w:hAnsi="Times New Roman"/>
          <w:sz w:val="24"/>
          <w:szCs w:val="24"/>
        </w:rPr>
        <w:t>916,718</w:t>
      </w:r>
      <w:r w:rsidRPr="00D42D54">
        <w:rPr>
          <w:rFonts w:ascii="Times New Roman" w:hAnsi="Times New Roman"/>
          <w:sz w:val="24"/>
          <w:szCs w:val="24"/>
        </w:rPr>
        <w:t xml:space="preserve"> EIA tests performed in the U.S. (</w:t>
      </w:r>
      <w:r>
        <w:rPr>
          <w:rFonts w:ascii="Times New Roman" w:hAnsi="Times New Roman"/>
          <w:sz w:val="24"/>
          <w:szCs w:val="24"/>
        </w:rPr>
        <w:t xml:space="preserve">reporting period </w:t>
      </w:r>
      <w:r w:rsidRPr="00D42D54">
        <w:rPr>
          <w:rFonts w:ascii="Times New Roman" w:hAnsi="Times New Roman"/>
          <w:sz w:val="24"/>
          <w:szCs w:val="24"/>
        </w:rPr>
        <w:t>January-August</w:t>
      </w:r>
      <w:r>
        <w:rPr>
          <w:rFonts w:ascii="Times New Roman" w:hAnsi="Times New Roman"/>
          <w:sz w:val="24"/>
          <w:szCs w:val="24"/>
        </w:rPr>
        <w:t xml:space="preserve"> 2023) with 46 new EIA cases confirmed in 13 states (Arizona, California, Colorado, Florida, Illinois, Indiana, Minnesota, Mississippi, New Mexico, North Carolina, Oklahoma, Oregon, and Texas) as of September 25, 2023.  Thirty (30) of the 46 EIA positives occurred in current or former QH racehorses with iatrogenic transmission of the disease either suspected or confirmed.  Many of the EIA-positive horses were found to be participating in unsanctioned racing.  The EIA cases identified over the past few years further highlight our recognition of a recent shift in the epidemiology of EIA in the U.S.  While prior to 2017, many of the EIA cases were found to be in untested or under-tested equine populations where natural vector-borne transmission of the disease had been occurring over time, since 2017 the majority of the EIA cases each year are now being found in QH racehorses with iatrogenic transmission involved.  Iatrogenic transmission of EIA is a preventable occurrence and targeted educational outreach is needed in these high-risk populations to reduce the incidence of EIA and eliminate further spread.  </w:t>
      </w:r>
    </w:p>
    <w:p w14:paraId="21E3B35C" w14:textId="77777777" w:rsidR="00D42DFB" w:rsidRDefault="00D42DFB" w:rsidP="00D42DFB">
      <w:pPr>
        <w:contextualSpacing/>
        <w:rPr>
          <w:rFonts w:ascii="Times New Roman" w:hAnsi="Times New Roman"/>
          <w:sz w:val="24"/>
          <w:szCs w:val="24"/>
        </w:rPr>
      </w:pPr>
    </w:p>
    <w:p w14:paraId="37649369" w14:textId="77777777" w:rsidR="00D42DFB" w:rsidRDefault="00D42DFB" w:rsidP="00D42DFB">
      <w:pPr>
        <w:contextualSpacing/>
        <w:rPr>
          <w:rFonts w:ascii="Times New Roman" w:hAnsi="Times New Roman"/>
          <w:sz w:val="24"/>
          <w:szCs w:val="24"/>
        </w:rPr>
      </w:pPr>
      <w:r>
        <w:rPr>
          <w:rFonts w:ascii="Times New Roman" w:hAnsi="Times New Roman"/>
          <w:sz w:val="24"/>
          <w:szCs w:val="24"/>
        </w:rPr>
        <w:t>Annual EIA reports are available on the USDA-APHIS website at the following link:</w:t>
      </w:r>
      <w:r w:rsidRPr="004538DC">
        <w:t xml:space="preserve"> </w:t>
      </w:r>
      <w:hyperlink r:id="rId6" w:history="1">
        <w:r w:rsidRPr="00AE2576">
          <w:rPr>
            <w:rStyle w:val="Hyperlink"/>
            <w:rFonts w:ascii="Times New Roman" w:hAnsi="Times New Roman"/>
            <w:sz w:val="24"/>
            <w:szCs w:val="24"/>
          </w:rPr>
          <w:t>https://www.aphis.usda.gov/aphis/ourfocus/animalhealth/animal-disease-information/equine/eia/equine-infectious-anemia</w:t>
        </w:r>
      </w:hyperlink>
    </w:p>
    <w:p w14:paraId="2877E575" w14:textId="77777777" w:rsidR="00D42DFB" w:rsidRDefault="00D42DFB" w:rsidP="00D42DFB">
      <w:pPr>
        <w:contextualSpacing/>
        <w:rPr>
          <w:rFonts w:ascii="Times New Roman" w:hAnsi="Times New Roman"/>
          <w:sz w:val="24"/>
          <w:szCs w:val="24"/>
        </w:rPr>
      </w:pPr>
    </w:p>
    <w:p w14:paraId="1AAA89D4" w14:textId="77777777" w:rsidR="00D42DFB" w:rsidRDefault="00D42DFB" w:rsidP="00D42DFB">
      <w:pPr>
        <w:contextualSpacing/>
        <w:rPr>
          <w:rFonts w:ascii="Times New Roman" w:hAnsi="Times New Roman"/>
          <w:sz w:val="24"/>
          <w:szCs w:val="24"/>
        </w:rPr>
      </w:pPr>
      <w:r>
        <w:rPr>
          <w:rFonts w:ascii="Times New Roman" w:hAnsi="Times New Roman"/>
          <w:sz w:val="24"/>
          <w:szCs w:val="24"/>
        </w:rPr>
        <w:t>Annual EP reports are available on the USDA-APHIS website at the following link:</w:t>
      </w:r>
    </w:p>
    <w:p w14:paraId="1B765911" w14:textId="77777777" w:rsidR="00D42DFB" w:rsidRDefault="00413624" w:rsidP="00D42DFB">
      <w:pPr>
        <w:contextualSpacing/>
        <w:rPr>
          <w:rFonts w:ascii="Times New Roman" w:hAnsi="Times New Roman"/>
          <w:sz w:val="24"/>
          <w:szCs w:val="24"/>
        </w:rPr>
      </w:pPr>
      <w:hyperlink r:id="rId7" w:history="1">
        <w:r w:rsidR="00D42DFB" w:rsidRPr="000D5EC0">
          <w:rPr>
            <w:rStyle w:val="Hyperlink"/>
            <w:rFonts w:ascii="Times New Roman" w:hAnsi="Times New Roman"/>
            <w:sz w:val="24"/>
            <w:szCs w:val="24"/>
          </w:rPr>
          <w:t>https://www.aphis.usda.gov/aphis/ourfocus/animalhealth/animal-disease-information/equine/ep/equine-piroplasmosis</w:t>
        </w:r>
      </w:hyperlink>
    </w:p>
    <w:p w14:paraId="141429AF" w14:textId="77777777" w:rsidR="00D42DFB" w:rsidRDefault="00D42DFB" w:rsidP="00D42DFB">
      <w:pPr>
        <w:contextualSpacing/>
        <w:rPr>
          <w:rFonts w:ascii="Times New Roman" w:hAnsi="Times New Roman"/>
          <w:b/>
          <w:sz w:val="24"/>
          <w:szCs w:val="24"/>
        </w:rPr>
      </w:pPr>
      <w:r w:rsidRPr="00234E9B">
        <w:rPr>
          <w:rFonts w:ascii="Times New Roman" w:hAnsi="Times New Roman"/>
          <w:b/>
          <w:sz w:val="24"/>
          <w:szCs w:val="24"/>
        </w:rPr>
        <w:lastRenderedPageBreak/>
        <w:t>West Nile Virus (WNV) and Eastern Equine Encephalitis (EEE)</w:t>
      </w:r>
    </w:p>
    <w:p w14:paraId="648FCC5A" w14:textId="77777777" w:rsidR="00D42DFB" w:rsidRDefault="00D42DFB" w:rsidP="00D42DFB">
      <w:pPr>
        <w:contextualSpacing/>
        <w:rPr>
          <w:rFonts w:ascii="Times New Roman" w:hAnsi="Times New Roman"/>
          <w:b/>
          <w:sz w:val="24"/>
          <w:szCs w:val="24"/>
        </w:rPr>
      </w:pPr>
    </w:p>
    <w:p w14:paraId="7B9F9838" w14:textId="77777777" w:rsidR="00D42DFB" w:rsidRDefault="00D42DFB" w:rsidP="00D42DFB">
      <w:pPr>
        <w:contextualSpacing/>
        <w:rPr>
          <w:rFonts w:ascii="Times New Roman" w:hAnsi="Times New Roman"/>
          <w:sz w:val="24"/>
          <w:szCs w:val="24"/>
        </w:rPr>
      </w:pPr>
      <w:r>
        <w:rPr>
          <w:rFonts w:ascii="Times New Roman" w:hAnsi="Times New Roman"/>
          <w:sz w:val="24"/>
          <w:szCs w:val="24"/>
        </w:rPr>
        <w:t xml:space="preserve">Equine case counts for WNV and EEE are sourced from the CDC’s </w:t>
      </w:r>
      <w:proofErr w:type="spellStart"/>
      <w:r>
        <w:rPr>
          <w:rFonts w:ascii="Times New Roman" w:hAnsi="Times New Roman"/>
          <w:sz w:val="24"/>
          <w:szCs w:val="24"/>
        </w:rPr>
        <w:t>ArboNET</w:t>
      </w:r>
      <w:proofErr w:type="spellEnd"/>
      <w:r>
        <w:rPr>
          <w:rFonts w:ascii="Times New Roman" w:hAnsi="Times New Roman"/>
          <w:sz w:val="24"/>
          <w:szCs w:val="24"/>
        </w:rPr>
        <w:t xml:space="preserve"> database and summarized by APHIS-VS in consultation with state animal health officials.  In 2023, USDA-APHIS launched an online interactive Equine Arbovirus Dashboard which displays equine WNV and EEE cases confirmed through </w:t>
      </w:r>
      <w:proofErr w:type="spellStart"/>
      <w:r>
        <w:rPr>
          <w:rFonts w:ascii="Times New Roman" w:hAnsi="Times New Roman"/>
          <w:sz w:val="24"/>
          <w:szCs w:val="24"/>
        </w:rPr>
        <w:t>ArboNET</w:t>
      </w:r>
      <w:proofErr w:type="spellEnd"/>
      <w:r>
        <w:rPr>
          <w:rFonts w:ascii="Times New Roman" w:hAnsi="Times New Roman"/>
          <w:sz w:val="24"/>
          <w:szCs w:val="24"/>
        </w:rPr>
        <w:t xml:space="preserve">.  The Dashboard is accessible at the following link and now replaces the historically published annual reports for both diseases: </w:t>
      </w:r>
    </w:p>
    <w:p w14:paraId="349FA264" w14:textId="77777777" w:rsidR="00D42DFB" w:rsidRDefault="00D42DFB" w:rsidP="00D42DFB">
      <w:pPr>
        <w:contextualSpacing/>
        <w:rPr>
          <w:rFonts w:ascii="Times New Roman" w:hAnsi="Times New Roman"/>
          <w:sz w:val="24"/>
          <w:szCs w:val="24"/>
        </w:rPr>
      </w:pPr>
    </w:p>
    <w:p w14:paraId="6B25AE84" w14:textId="77777777" w:rsidR="00D42DFB" w:rsidRDefault="00413624" w:rsidP="00D42DFB">
      <w:pPr>
        <w:contextualSpacing/>
        <w:rPr>
          <w:rFonts w:ascii="Times New Roman" w:hAnsi="Times New Roman"/>
          <w:sz w:val="24"/>
          <w:szCs w:val="24"/>
        </w:rPr>
      </w:pPr>
      <w:hyperlink r:id="rId8" w:history="1">
        <w:r w:rsidR="00D42DFB" w:rsidRPr="00FF5ADD">
          <w:rPr>
            <w:rStyle w:val="Hyperlink"/>
            <w:rFonts w:ascii="Times New Roman" w:hAnsi="Times New Roman"/>
            <w:sz w:val="24"/>
            <w:szCs w:val="24"/>
          </w:rPr>
          <w:t>https://www.aphis.usda.gov/aphis/dashboards/tableau/equine-arbovirus-dashboard</w:t>
        </w:r>
      </w:hyperlink>
    </w:p>
    <w:p w14:paraId="1FA4F624" w14:textId="77777777" w:rsidR="00D42DFB" w:rsidRDefault="00D42DFB" w:rsidP="00D42DFB">
      <w:pPr>
        <w:contextualSpacing/>
        <w:rPr>
          <w:rFonts w:ascii="Times New Roman" w:hAnsi="Times New Roman"/>
          <w:sz w:val="24"/>
          <w:szCs w:val="24"/>
        </w:rPr>
      </w:pPr>
      <w:r>
        <w:rPr>
          <w:rFonts w:ascii="Times New Roman" w:hAnsi="Times New Roman"/>
          <w:sz w:val="24"/>
          <w:szCs w:val="24"/>
        </w:rPr>
        <w:t xml:space="preserve"> </w:t>
      </w:r>
    </w:p>
    <w:p w14:paraId="1683840B" w14:textId="77777777" w:rsidR="00D42DFB" w:rsidRDefault="00D42DFB" w:rsidP="00D42DFB">
      <w:pPr>
        <w:contextualSpacing/>
        <w:rPr>
          <w:rFonts w:ascii="Times New Roman" w:hAnsi="Times New Roman"/>
          <w:sz w:val="24"/>
          <w:szCs w:val="24"/>
        </w:rPr>
      </w:pPr>
    </w:p>
    <w:p w14:paraId="4E6D5FFB" w14:textId="77777777" w:rsidR="00D42DFB" w:rsidRDefault="00D42DFB" w:rsidP="00D42DFB">
      <w:pPr>
        <w:contextualSpacing/>
        <w:rPr>
          <w:rFonts w:ascii="Times New Roman" w:hAnsi="Times New Roman"/>
          <w:sz w:val="24"/>
          <w:szCs w:val="24"/>
        </w:rPr>
      </w:pPr>
      <w:r>
        <w:rPr>
          <w:rFonts w:ascii="Times New Roman" w:hAnsi="Times New Roman"/>
          <w:sz w:val="24"/>
          <w:szCs w:val="24"/>
        </w:rPr>
        <w:t>The previously published annual WNV and EEE case reports can still be accessed for historical data at the following links:</w:t>
      </w:r>
    </w:p>
    <w:p w14:paraId="5507ECAF" w14:textId="77777777" w:rsidR="00D42DFB" w:rsidRDefault="00D42DFB" w:rsidP="00D42DFB">
      <w:pPr>
        <w:contextualSpacing/>
        <w:rPr>
          <w:rFonts w:ascii="Times New Roman" w:hAnsi="Times New Roman"/>
          <w:sz w:val="24"/>
          <w:szCs w:val="24"/>
        </w:rPr>
      </w:pPr>
    </w:p>
    <w:p w14:paraId="2C0FE0E0" w14:textId="77777777" w:rsidR="00D42DFB" w:rsidRPr="00483597" w:rsidRDefault="00D42DFB" w:rsidP="00D42DFB">
      <w:pPr>
        <w:contextualSpacing/>
        <w:rPr>
          <w:rFonts w:ascii="Times New Roman" w:hAnsi="Times New Roman"/>
          <w:color w:val="0563C1" w:themeColor="hyperlink"/>
          <w:sz w:val="24"/>
          <w:szCs w:val="24"/>
          <w:u w:val="single"/>
        </w:rPr>
      </w:pPr>
      <w:r>
        <w:rPr>
          <w:rFonts w:ascii="Times New Roman" w:hAnsi="Times New Roman"/>
          <w:sz w:val="24"/>
          <w:szCs w:val="24"/>
        </w:rPr>
        <w:t xml:space="preserve">For WNV information:  </w:t>
      </w:r>
      <w:hyperlink r:id="rId9" w:history="1">
        <w:r w:rsidRPr="00994507">
          <w:rPr>
            <w:rStyle w:val="Hyperlink"/>
            <w:rFonts w:ascii="Times New Roman" w:hAnsi="Times New Roman"/>
            <w:sz w:val="24"/>
            <w:szCs w:val="24"/>
          </w:rPr>
          <w:t>https://www.aphis.usda.gov/aphis/ourfocus/animalhealth/animal-disease-information/equine/wnv</w:t>
        </w:r>
      </w:hyperlink>
    </w:p>
    <w:p w14:paraId="7832A90B" w14:textId="77777777" w:rsidR="00D42DFB" w:rsidRDefault="00D42DFB" w:rsidP="00D42DFB">
      <w:pPr>
        <w:contextualSpacing/>
        <w:rPr>
          <w:rFonts w:ascii="Times New Roman" w:hAnsi="Times New Roman"/>
          <w:sz w:val="24"/>
          <w:szCs w:val="24"/>
        </w:rPr>
      </w:pPr>
    </w:p>
    <w:p w14:paraId="4A8C09A0" w14:textId="77777777" w:rsidR="00D42DFB" w:rsidRDefault="00D42DFB" w:rsidP="00D42DFB">
      <w:pPr>
        <w:contextualSpacing/>
        <w:rPr>
          <w:rStyle w:val="Hyperlink"/>
          <w:rFonts w:ascii="Times New Roman" w:hAnsi="Times New Roman"/>
          <w:sz w:val="24"/>
          <w:szCs w:val="24"/>
        </w:rPr>
      </w:pPr>
      <w:r>
        <w:rPr>
          <w:rFonts w:ascii="Times New Roman" w:hAnsi="Times New Roman"/>
          <w:sz w:val="24"/>
          <w:szCs w:val="24"/>
        </w:rPr>
        <w:t xml:space="preserve">For EEE information:  </w:t>
      </w:r>
      <w:hyperlink r:id="rId10" w:history="1">
        <w:r w:rsidRPr="00994507">
          <w:rPr>
            <w:rStyle w:val="Hyperlink"/>
            <w:rFonts w:ascii="Times New Roman" w:hAnsi="Times New Roman"/>
            <w:sz w:val="24"/>
            <w:szCs w:val="24"/>
          </w:rPr>
          <w:t>https://www.aphis.usda.gov/aphis/ourfocus/animalhealth/animal-disease-information/equine/eee-wee-vee</w:t>
        </w:r>
      </w:hyperlink>
    </w:p>
    <w:p w14:paraId="795A1810" w14:textId="77777777" w:rsidR="00D42DFB" w:rsidRDefault="00D42DFB" w:rsidP="00D42DFB">
      <w:pPr>
        <w:contextualSpacing/>
        <w:rPr>
          <w:rFonts w:ascii="Times New Roman" w:hAnsi="Times New Roman"/>
          <w:sz w:val="24"/>
          <w:szCs w:val="24"/>
        </w:rPr>
      </w:pPr>
    </w:p>
    <w:p w14:paraId="1357F152" w14:textId="105A0EF5" w:rsidR="0095554B" w:rsidRDefault="00D42DFB" w:rsidP="00D42DFB">
      <w:r>
        <w:rPr>
          <w:rFonts w:ascii="Times New Roman" w:hAnsi="Times New Roman"/>
          <w:sz w:val="24"/>
          <w:szCs w:val="24"/>
        </w:rPr>
        <w:t xml:space="preserve">In calendar year 2022, there were 116 equine WNV cases confirmed and reported in 32 states.  So far in 2023, there have been at least 158 equine WNV cases identified in 24 states as of September 27, 2022. For EEE, there were 30 equine cases confirmed and reported in 7 states in calendar year 2022 and, in 2023, a total of at least 35 cases in 12 states have been reported as of September 27, 2022.  Delays in reporting equine arboviral cases in </w:t>
      </w:r>
      <w:proofErr w:type="spellStart"/>
      <w:r>
        <w:rPr>
          <w:rFonts w:ascii="Times New Roman" w:hAnsi="Times New Roman"/>
          <w:sz w:val="24"/>
          <w:szCs w:val="24"/>
        </w:rPr>
        <w:t>ArboNET</w:t>
      </w:r>
      <w:proofErr w:type="spellEnd"/>
      <w:r>
        <w:rPr>
          <w:rFonts w:ascii="Times New Roman" w:hAnsi="Times New Roman"/>
          <w:sz w:val="24"/>
          <w:szCs w:val="24"/>
        </w:rPr>
        <w:t xml:space="preserve"> are routinely recognized, so numbers reported here for 2023 are expected to be an under-representation of the actual current case counts and number of states affected.  Additionally, WNV/EEE reporting requires diagnostic confirmation of the disease in a clinically affected animal.  If a horse owner is unwilling or unable to pay for diagnostic testing in a suspected WNV or EEE case, then those potential cases will go unreported.  Although the actual numbers are unknown, it is suspected that a significant number of equine WNV and/or EEE cases go unreported each year due to absence of diagnostic testing</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5026FB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BA6E0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762AA5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FBA4D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6D2FE3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E8EF3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6869C9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8C8479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EECA30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19AA48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1" w15:restartNumberingAfterBreak="0">
    <w:nsid w:val="56B65267"/>
    <w:multiLevelType w:val="hybridMultilevel"/>
    <w:tmpl w:val="F3441E3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E313B"/>
    <w:rsid w:val="002647A2"/>
    <w:rsid w:val="00272677"/>
    <w:rsid w:val="00301AF3"/>
    <w:rsid w:val="00495431"/>
    <w:rsid w:val="00676D63"/>
    <w:rsid w:val="0073246C"/>
    <w:rsid w:val="008356A6"/>
    <w:rsid w:val="00861A4B"/>
    <w:rsid w:val="00917B4C"/>
    <w:rsid w:val="0095554B"/>
    <w:rsid w:val="0099068B"/>
    <w:rsid w:val="00AD6C11"/>
    <w:rsid w:val="00C764F2"/>
    <w:rsid w:val="00D42DFB"/>
    <w:rsid w:val="00DC27A5"/>
    <w:rsid w:val="00E71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styleId="UnresolvedMention">
    <w:name w:val="Unresolved Mention"/>
    <w:basedOn w:val="DefaultParagraphFont"/>
    <w:uiPriority w:val="99"/>
    <w:semiHidden/>
    <w:unhideWhenUsed/>
    <w:rsid w:val="00E717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phis.usda.gov/aphis/dashboards/tableau/equine-arbovirus-dashboard" TargetMode="External"/><Relationship Id="rId3" Type="http://schemas.openxmlformats.org/officeDocument/2006/relationships/settings" Target="settings.xml"/><Relationship Id="rId7" Type="http://schemas.openxmlformats.org/officeDocument/2006/relationships/hyperlink" Target="https://www.aphis.usda.gov/aphis/ourfocus/animalhealth/animal-disease-information/equine/ep/equine-piroplasmosi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phis.usda.gov/aphis/ourfocus/animalhealth/animal-disease-information/equine/eia/equine-infectious-anemia" TargetMode="External"/><Relationship Id="rId11" Type="http://schemas.openxmlformats.org/officeDocument/2006/relationships/fontTable" Target="fontTable.xml"/><Relationship Id="rId5" Type="http://schemas.openxmlformats.org/officeDocument/2006/relationships/hyperlink" Target="https://www.aphis.usda.gov/aphis/ourfocus/animalhealth/animal-disease-information/cattle-disease-information/bluetongue-disease-info/!ut/p/z1/lZJBT4MwGIZ_yw4ct35lC2PeAAmgsJltCPZiQAs0AUqgSOKvt3MejDqGvTRtn-drvrdFBMWI1MkbyxPBeJ2Ucv1EtOctthzQV9h37FsMhrvx7t21BjsVUPQJ-LuVhc0DyNk2wbD368C2PRXwEpH_-Y-uJv1jeNzq2PQ26jQfLgwDpvkjABkvf3ftApmg2gZWkCPSJKKYszrjKE7Lngpe5z2dv7KOJh09H0SIjBUER_0CLiW-vwacnuQH8DvzCV3nJU_PH8So06Uu22tpRlvaLvpWbhdCNN2NAgoMw7BIWZ0vXnilwF9CwTuB4u8caqowDON3Pzt47KGK9M6YzT4Ay1M7MQ!!/" TargetMode="External"/><Relationship Id="rId10" Type="http://schemas.openxmlformats.org/officeDocument/2006/relationships/hyperlink" Target="https://www.aphis.usda.gov/aphis/ourfocus/animalhealth/animal-disease-information/equine/eee-wee-vee" TargetMode="External"/><Relationship Id="rId4" Type="http://schemas.openxmlformats.org/officeDocument/2006/relationships/webSettings" Target="webSettings.xml"/><Relationship Id="rId9" Type="http://schemas.openxmlformats.org/officeDocument/2006/relationships/hyperlink" Target="https://www.aphis.usda.gov/aphis/ourfocus/animalhealth/animal-disease-information/equine/wn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3613</Words>
  <Characters>20598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Hasel, Hallie</cp:lastModifiedBy>
  <cp:revision>2</cp:revision>
  <dcterms:created xsi:type="dcterms:W3CDTF">2023-10-17T21:40:00Z</dcterms:created>
  <dcterms:modified xsi:type="dcterms:W3CDTF">2023-10-17T21:40:00Z</dcterms:modified>
</cp:coreProperties>
</file>