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2A921" w14:textId="155D0197" w:rsidR="008356A6" w:rsidRDefault="00655965" w:rsidP="00072A07">
      <w:pPr>
        <w:pStyle w:val="Heading1"/>
      </w:pPr>
      <w:r>
        <w:t>C</w:t>
      </w:r>
      <w:r w:rsidR="00072A07">
        <w:t xml:space="preserve">OMMITTEE ON </w:t>
      </w:r>
      <w:r w:rsidR="008C3A61">
        <w:t>Parasitic and vector borne diseases</w:t>
      </w:r>
    </w:p>
    <w:p w14:paraId="082CFC8C" w14:textId="3160B0A1" w:rsidR="00072A07" w:rsidRDefault="00072A07" w:rsidP="00072A07">
      <w:pPr>
        <w:jc w:val="center"/>
      </w:pPr>
      <w:r>
        <w:t>Chair:</w:t>
      </w:r>
      <w:r w:rsidR="008C3A61">
        <w:t xml:space="preserve">  Dr. Hallie Hasel</w:t>
      </w:r>
    </w:p>
    <w:p w14:paraId="0AAF48FD" w14:textId="485D6490" w:rsidR="00072A07" w:rsidRDefault="00072A07" w:rsidP="00072A07">
      <w:pPr>
        <w:jc w:val="center"/>
      </w:pPr>
      <w:r>
        <w:t>Vice Chair:</w:t>
      </w:r>
      <w:r w:rsidR="008C3A61">
        <w:t xml:space="preserve">  Dr. TR Lansford</w:t>
      </w:r>
    </w:p>
    <w:p w14:paraId="41E7CE5D" w14:textId="094E4326" w:rsidR="0004484A" w:rsidRDefault="0004484A" w:rsidP="00072A07">
      <w:pPr>
        <w:jc w:val="center"/>
      </w:pPr>
    </w:p>
    <w:p w14:paraId="334840E6" w14:textId="77777777" w:rsidR="00072A07" w:rsidRDefault="00072A07" w:rsidP="00072A07">
      <w:pPr>
        <w:jc w:val="center"/>
      </w:pPr>
    </w:p>
    <w:p w14:paraId="07CD87DD" w14:textId="1B009652" w:rsidR="0095554B" w:rsidRDefault="0095554B" w:rsidP="00CF5682">
      <w:r>
        <w:t xml:space="preserve">The Committee met </w:t>
      </w:r>
      <w:r w:rsidR="00A97BCD">
        <w:t xml:space="preserve">on November 4 at the Gaylord Rockies Convention Center, Denver, Colorado, from 3:15 pm – 5:15 pm. There were XX members and XX guests present. </w:t>
      </w:r>
      <w:r w:rsidR="00346135">
        <w:t xml:space="preserve">The meeting began with the presentations summarized below. The committee </w:t>
      </w:r>
      <w:r w:rsidR="00A97BCD">
        <w:t>had one resolution response to review from 2024, one 2025 resolution, and one 2026 recommendation.</w:t>
      </w:r>
    </w:p>
    <w:p w14:paraId="003F9AA7" w14:textId="77777777" w:rsidR="00346135" w:rsidRDefault="00346135" w:rsidP="00346135"/>
    <w:p w14:paraId="2EE4518D" w14:textId="04DD258B" w:rsidR="0095554B" w:rsidRDefault="0095554B" w:rsidP="00346135">
      <w:pPr>
        <w:rPr>
          <w:b/>
          <w:bCs/>
        </w:rPr>
      </w:pPr>
      <w:r>
        <w:rPr>
          <w:b/>
          <w:bCs/>
        </w:rPr>
        <w:t xml:space="preserve">Presentations &amp; Reports </w:t>
      </w:r>
    </w:p>
    <w:p w14:paraId="00DB5E4C" w14:textId="77777777" w:rsidR="005324C1" w:rsidRPr="005324C1" w:rsidRDefault="005324C1" w:rsidP="00346135"/>
    <w:p w14:paraId="1A1F9E21" w14:textId="1AA872D0" w:rsidR="0004484A" w:rsidRDefault="0004484A" w:rsidP="0004484A">
      <w:pPr>
        <w:rPr>
          <w:rFonts w:eastAsia="Calibri" w:cs="Arial"/>
          <w:b/>
        </w:rPr>
      </w:pPr>
      <w:r w:rsidRPr="00B67940">
        <w:rPr>
          <w:rFonts w:eastAsia="Calibri" w:cs="Arial"/>
          <w:b/>
        </w:rPr>
        <w:t>SCWDS Update</w:t>
      </w:r>
      <w:r>
        <w:rPr>
          <w:rFonts w:eastAsia="Calibri" w:cs="Arial"/>
          <w:b/>
        </w:rPr>
        <w:t xml:space="preserve"> on 2025 EHDV and BTV Detections</w:t>
      </w:r>
    </w:p>
    <w:p w14:paraId="4B496297" w14:textId="08EF6160" w:rsidR="0004484A" w:rsidRPr="0004484A" w:rsidRDefault="0004484A" w:rsidP="0004484A">
      <w:pPr>
        <w:rPr>
          <w:rFonts w:eastAsia="Calibri" w:cs="Arial"/>
          <w:bCs/>
        </w:rPr>
      </w:pPr>
      <w:r w:rsidRPr="0004484A">
        <w:rPr>
          <w:rFonts w:eastAsia="Calibri" w:cs="Arial"/>
          <w:bCs/>
        </w:rPr>
        <w:t>Dr. Mark Ruder, SCWDS</w:t>
      </w:r>
    </w:p>
    <w:p w14:paraId="4A021295" w14:textId="77777777" w:rsidR="0004484A" w:rsidRPr="00B67940" w:rsidRDefault="0004484A" w:rsidP="0004484A">
      <w:pPr>
        <w:rPr>
          <w:rFonts w:eastAsia="Calibri" w:cs="Arial"/>
        </w:rPr>
      </w:pPr>
    </w:p>
    <w:p w14:paraId="4C8FB99E" w14:textId="77777777" w:rsidR="0004484A" w:rsidRPr="008E409E" w:rsidRDefault="0004484A" w:rsidP="0004484A">
      <w:pPr>
        <w:rPr>
          <w:rFonts w:eastAsia="Times New Roman" w:cs="Arial"/>
        </w:rPr>
      </w:pPr>
      <w:r w:rsidRPr="008E409E">
        <w:rPr>
          <w:rFonts w:eastAsia="Times New Roman" w:cs="Arial"/>
        </w:rPr>
        <w:t xml:space="preserve">Mark Ruder, Lyndon Sullivan-Brugger, David Stallknecht, Nicole Nemeth, Paul Oesterle, Elizabeth Kurimo-Beechuk, Victoria Andreasen, Juliet Woodward, </w:t>
      </w:r>
      <w:r>
        <w:rPr>
          <w:rFonts w:eastAsia="Times New Roman" w:cs="Arial"/>
        </w:rPr>
        <w:t xml:space="preserve">and </w:t>
      </w:r>
      <w:r w:rsidRPr="008E409E">
        <w:rPr>
          <w:rFonts w:eastAsia="Times New Roman" w:cs="Arial"/>
        </w:rPr>
        <w:t>Rebecca Poulson, Southeastern Cooperative Wildlife Disease Study (SCWDS), University of Georgia, Athens, GA</w:t>
      </w:r>
    </w:p>
    <w:p w14:paraId="40D0B3EC" w14:textId="77777777" w:rsidR="0004484A" w:rsidRPr="007166CA" w:rsidRDefault="0004484A" w:rsidP="0004484A">
      <w:pPr>
        <w:rPr>
          <w:rFonts w:cs="Arial"/>
        </w:rPr>
      </w:pPr>
    </w:p>
    <w:p w14:paraId="21933030" w14:textId="77777777" w:rsidR="0004484A" w:rsidRPr="00AB029F" w:rsidRDefault="0004484A" w:rsidP="0004484A">
      <w:pPr>
        <w:ind w:firstLine="360"/>
        <w:rPr>
          <w:rFonts w:eastAsia="Times New Roman" w:cs="Arial"/>
          <w:highlight w:val="yellow"/>
        </w:rPr>
      </w:pPr>
      <w:r w:rsidRPr="007166CA">
        <w:rPr>
          <w:rFonts w:eastAsia="Times New Roman" w:cs="Arial"/>
        </w:rPr>
        <w:t xml:space="preserve">Annually, SCWDS receives wild ruminant tissue samples submitted by state wildlife agency personnel from throughout much of the United States. The samples are collected in the field from animals suspected to have died from orbiviral hemorrhagic disease. Submissions are initially tested for epizootic hemorrhagic disease virus (EHDV) and bluetongue virus (BTV) by real-time reverse transcription PCR (rRT-PCR). For samples that test positive by rRT-PCR, virus isolation is attempted and isolates are identified to serotype. Bluetongue virus isolates and samples with ct values ≤30 are shared with </w:t>
      </w:r>
      <w:r>
        <w:rPr>
          <w:rFonts w:eastAsia="Times New Roman" w:cs="Arial"/>
        </w:rPr>
        <w:t xml:space="preserve">partners at </w:t>
      </w:r>
      <w:r w:rsidRPr="007166CA">
        <w:rPr>
          <w:rFonts w:eastAsia="Times New Roman" w:cs="Arial"/>
        </w:rPr>
        <w:t>NVSL for further characterization. This work is supported through long-term financial support of SCWDS member wildlife agencies</w:t>
      </w:r>
      <w:r>
        <w:rPr>
          <w:rFonts w:eastAsia="Times New Roman" w:cs="Arial"/>
        </w:rPr>
        <w:t xml:space="preserve"> and we thank NVSL for their ongoing support to characterize BTV detections</w:t>
      </w:r>
      <w:r w:rsidRPr="007166CA">
        <w:rPr>
          <w:rFonts w:eastAsia="Times New Roman" w:cs="Arial"/>
        </w:rPr>
        <w:t xml:space="preserve">. </w:t>
      </w:r>
    </w:p>
    <w:p w14:paraId="26AC77E8" w14:textId="77777777" w:rsidR="0004484A" w:rsidRPr="00AB029F" w:rsidRDefault="0004484A" w:rsidP="0004484A">
      <w:pPr>
        <w:tabs>
          <w:tab w:val="left" w:pos="-1126"/>
          <w:tab w:val="left" w:pos="-720"/>
          <w:tab w:val="left" w:pos="0"/>
          <w:tab w:val="left" w:pos="2322"/>
          <w:tab w:val="left" w:pos="2880"/>
          <w:tab w:val="left" w:pos="3600"/>
          <w:tab w:val="left" w:pos="4320"/>
          <w:tab w:val="left" w:pos="5040"/>
          <w:tab w:val="left" w:pos="5760"/>
          <w:tab w:val="left" w:pos="6480"/>
          <w:tab w:val="left" w:pos="7200"/>
          <w:tab w:val="left" w:pos="7920"/>
          <w:tab w:val="left" w:pos="8640"/>
          <w:tab w:val="left" w:pos="9360"/>
          <w:tab w:val="left" w:pos="9648"/>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jc w:val="both"/>
        <w:rPr>
          <w:rFonts w:eastAsia="Calibri" w:cs="Arial"/>
          <w:highlight w:val="yellow"/>
        </w:rPr>
      </w:pPr>
      <w:r w:rsidRPr="007166CA">
        <w:rPr>
          <w:rFonts w:eastAsia="Calibri" w:cs="Arial"/>
        </w:rPr>
        <w:t>Final results for the 2024 EHDV and BTV transmission season were completed since the last USAHA meeting. During 202</w:t>
      </w:r>
      <w:r>
        <w:rPr>
          <w:rFonts w:eastAsia="Calibri" w:cs="Arial"/>
        </w:rPr>
        <w:t>4</w:t>
      </w:r>
      <w:r w:rsidRPr="007166CA">
        <w:rPr>
          <w:rFonts w:eastAsia="Calibri" w:cs="Arial"/>
        </w:rPr>
        <w:t xml:space="preserve">, state wildlife agencies submitted tissue samples from </w:t>
      </w:r>
      <w:r w:rsidRPr="00C77F31">
        <w:rPr>
          <w:rFonts w:eastAsia="Calibri" w:cs="Arial"/>
        </w:rPr>
        <w:t xml:space="preserve">440 wild ruminants from 24 states. </w:t>
      </w:r>
      <w:r w:rsidRPr="000A75DB">
        <w:rPr>
          <w:rFonts w:eastAsia="Calibri" w:cs="Arial"/>
        </w:rPr>
        <w:t xml:space="preserve">Overall, </w:t>
      </w:r>
      <w:r>
        <w:rPr>
          <w:rStyle w:val="normaltextrun"/>
          <w:rFonts w:cs="Arial"/>
        </w:rPr>
        <w:t xml:space="preserve">EHDV was detected by rRT-PCR in 190 white-tailed deer from </w:t>
      </w:r>
      <w:r w:rsidRPr="000A75DB">
        <w:rPr>
          <w:rStyle w:val="normaltextrun"/>
          <w:rFonts w:cs="Arial"/>
        </w:rPr>
        <w:t>21 states</w:t>
      </w:r>
      <w:r w:rsidRPr="000A75DB">
        <w:rPr>
          <w:rFonts w:eastAsia="Calibri" w:cs="Arial"/>
        </w:rPr>
        <w:t xml:space="preserve"> and the following </w:t>
      </w:r>
      <w:r>
        <w:rPr>
          <w:rFonts w:eastAsia="Calibri" w:cs="Arial"/>
        </w:rPr>
        <w:t>serotypes</w:t>
      </w:r>
      <w:r w:rsidRPr="000A75DB">
        <w:rPr>
          <w:rFonts w:eastAsia="Calibri" w:cs="Arial"/>
        </w:rPr>
        <w:t xml:space="preserve"> were detected: EHDV</w:t>
      </w:r>
      <w:r w:rsidRPr="000B2E4D">
        <w:rPr>
          <w:rFonts w:eastAsia="Calibri" w:cs="Arial"/>
        </w:rPr>
        <w:t>-2 (Arkansas, Florida, Georgia, Indiana, Kansas, Kentucky, Louisiana, Maryland, Michigan, Missouri, Montana, Nebraska, New York, North Carolina, North Dakota, Pennsylvania, Tennessee, Virginia, West Virginia, and Wisconsin)</w:t>
      </w:r>
      <w:r>
        <w:rPr>
          <w:rFonts w:eastAsia="Calibri" w:cs="Arial"/>
        </w:rPr>
        <w:t>;</w:t>
      </w:r>
      <w:r w:rsidRPr="000B2E4D">
        <w:rPr>
          <w:rFonts w:eastAsia="Calibri" w:cs="Arial"/>
        </w:rPr>
        <w:t xml:space="preserve"> </w:t>
      </w:r>
      <w:r w:rsidRPr="000A75DB">
        <w:rPr>
          <w:rFonts w:eastAsia="Calibri" w:cs="Arial"/>
        </w:rPr>
        <w:t>EHDV-6 (Indiana, Kansas, Kentucky, Louisiana, Michigan, Mississippi, Missouri, West Virginia, and Wisconsin)</w:t>
      </w:r>
      <w:r>
        <w:rPr>
          <w:rFonts w:eastAsia="Calibri" w:cs="Arial"/>
        </w:rPr>
        <w:t>;</w:t>
      </w:r>
      <w:r w:rsidRPr="000A75DB">
        <w:rPr>
          <w:rFonts w:eastAsia="Calibri" w:cs="Arial"/>
        </w:rPr>
        <w:t xml:space="preserve"> EHDV-1 (Tennessee)</w:t>
      </w:r>
      <w:r>
        <w:rPr>
          <w:rFonts w:eastAsia="Calibri" w:cs="Arial"/>
        </w:rPr>
        <w:t xml:space="preserve">. </w:t>
      </w:r>
      <w:r>
        <w:rPr>
          <w:rStyle w:val="normaltextrun"/>
          <w:rFonts w:cs="Arial"/>
        </w:rPr>
        <w:t>There were 32 BTV detections by rRT-PCR, including 30 white-tailed deer from Florida, Georgia, Kansas, Missouri, Nebraska, Pennsylvania, and Tennessee, as well as a mule deer and bighorn sheep from Nebraska. In collaboration with NVSL, genetic sequencing identified BTV-6 (Tennessee), BTV-11 (Kansas), BTV-13 (Kansas, Pennsylvania), and BTV-17 (Kansas).</w:t>
      </w:r>
    </w:p>
    <w:p w14:paraId="4180CA49" w14:textId="77777777" w:rsidR="0004484A" w:rsidRPr="00AB029F" w:rsidRDefault="0004484A" w:rsidP="0004484A">
      <w:pPr>
        <w:tabs>
          <w:tab w:val="left" w:pos="-1126"/>
          <w:tab w:val="left" w:pos="-720"/>
          <w:tab w:val="left" w:pos="0"/>
          <w:tab w:val="left" w:pos="2322"/>
          <w:tab w:val="left" w:pos="2880"/>
          <w:tab w:val="left" w:pos="3600"/>
          <w:tab w:val="left" w:pos="4320"/>
          <w:tab w:val="left" w:pos="5040"/>
          <w:tab w:val="left" w:pos="5760"/>
          <w:tab w:val="left" w:pos="6480"/>
          <w:tab w:val="left" w:pos="7200"/>
          <w:tab w:val="left" w:pos="7920"/>
          <w:tab w:val="left" w:pos="8640"/>
          <w:tab w:val="left" w:pos="9360"/>
          <w:tab w:val="left" w:pos="9648"/>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jc w:val="both"/>
        <w:rPr>
          <w:rFonts w:cs="Arial"/>
          <w:highlight w:val="yellow"/>
        </w:rPr>
      </w:pPr>
      <w:r>
        <w:rPr>
          <w:rFonts w:eastAsia="Calibri" w:cs="Arial"/>
        </w:rPr>
        <w:t>From July 1 through October 17,</w:t>
      </w:r>
      <w:r w:rsidRPr="007166CA">
        <w:rPr>
          <w:rFonts w:eastAsia="Calibri" w:cs="Arial"/>
        </w:rPr>
        <w:t xml:space="preserve"> 2025</w:t>
      </w:r>
      <w:r>
        <w:rPr>
          <w:rFonts w:eastAsia="Calibri" w:cs="Arial"/>
        </w:rPr>
        <w:t>,</w:t>
      </w:r>
      <w:r w:rsidRPr="007166CA">
        <w:rPr>
          <w:rFonts w:eastAsia="Calibri" w:cs="Arial"/>
        </w:rPr>
        <w:t xml:space="preserve"> SCWDS has received tissue samples from </w:t>
      </w:r>
      <w:r w:rsidRPr="000B2E4D">
        <w:rPr>
          <w:rFonts w:eastAsia="Calibri" w:cs="Arial"/>
        </w:rPr>
        <w:t>419 wild ruminants from 21 states. Thus</w:t>
      </w:r>
      <w:r w:rsidRPr="007166CA">
        <w:rPr>
          <w:rFonts w:eastAsia="Calibri" w:cs="Arial"/>
        </w:rPr>
        <w:t xml:space="preserve"> far, testing has resulted in EHDV and/or BTV detections in 259 animals from 21 states. The following viruses have been </w:t>
      </w:r>
      <w:r>
        <w:rPr>
          <w:rFonts w:eastAsia="Calibri" w:cs="Arial"/>
        </w:rPr>
        <w:t>detected in</w:t>
      </w:r>
      <w:r w:rsidRPr="007166CA">
        <w:rPr>
          <w:rFonts w:eastAsia="Calibri" w:cs="Arial"/>
        </w:rPr>
        <w:t xml:space="preserve"> white-tailed deer</w:t>
      </w:r>
      <w:r w:rsidRPr="0069754D">
        <w:rPr>
          <w:rFonts w:eastAsia="Calibri" w:cs="Arial"/>
        </w:rPr>
        <w:t>: EHDV-1 (Kentucky, Pennsylvania)</w:t>
      </w:r>
      <w:r>
        <w:rPr>
          <w:rFonts w:eastAsia="Calibri" w:cs="Arial"/>
        </w:rPr>
        <w:t>;</w:t>
      </w:r>
      <w:r w:rsidRPr="0069754D">
        <w:rPr>
          <w:rFonts w:eastAsia="Calibri" w:cs="Arial"/>
        </w:rPr>
        <w:t xml:space="preserve"> EHDV-2 (Alabama, Arkansas, Florida, Georgia, Indiana, Kentucky, Maryland, Michigan, Missouri, Mississippi, Montana, North Dakota, Oklahoma, Pennsylvania, Tennessee, and West Virginia)</w:t>
      </w:r>
      <w:r>
        <w:rPr>
          <w:rFonts w:eastAsia="Calibri" w:cs="Arial"/>
        </w:rPr>
        <w:t>;</w:t>
      </w:r>
      <w:r w:rsidRPr="0069754D">
        <w:rPr>
          <w:rFonts w:eastAsia="Calibri" w:cs="Arial"/>
        </w:rPr>
        <w:t xml:space="preserve"> EHDV-6 (Arkansas, Georgia, Indiana, Kentucky, Maryland, Michigan, North Carolina, New York, Pennsylvania, Tennessee, Virginia, and West Virginia). Additional detections of EHDV are pending virus isolation and serotype determination: Georgia, Indiana, Kentucky, Louisiana, Missouri, Montana, North Carolina, North Dakota, Pennsylvania, Tennessee, and West Virginia.  </w:t>
      </w:r>
      <w:r w:rsidRPr="007166CA">
        <w:rPr>
          <w:rFonts w:eastAsia="Calibri" w:cs="Arial"/>
        </w:rPr>
        <w:t xml:space="preserve">Further, BTV detections from </w:t>
      </w:r>
      <w:r>
        <w:rPr>
          <w:rFonts w:eastAsia="Calibri" w:cs="Arial"/>
        </w:rPr>
        <w:t xml:space="preserve">Missouri, Montana, Nebraska, and Tennessee </w:t>
      </w:r>
      <w:r w:rsidRPr="007166CA">
        <w:rPr>
          <w:rFonts w:eastAsia="Calibri" w:cs="Arial"/>
        </w:rPr>
        <w:t>are pending</w:t>
      </w:r>
      <w:r>
        <w:rPr>
          <w:rFonts w:eastAsia="Calibri" w:cs="Arial"/>
        </w:rPr>
        <w:t xml:space="preserve"> further characterization </w:t>
      </w:r>
      <w:r w:rsidRPr="007166CA">
        <w:rPr>
          <w:rFonts w:eastAsia="Calibri" w:cs="Arial"/>
        </w:rPr>
        <w:t xml:space="preserve">at NVSL. </w:t>
      </w:r>
      <w:r w:rsidRPr="007166CA">
        <w:rPr>
          <w:rFonts w:cs="Arial"/>
        </w:rPr>
        <w:t>Testing will continue on samples received through November.</w:t>
      </w:r>
    </w:p>
    <w:p w14:paraId="4197DC01" w14:textId="77777777" w:rsidR="00AB4214" w:rsidRDefault="00AB4214" w:rsidP="00AB4214"/>
    <w:p w14:paraId="3964ADEF" w14:textId="62774C75" w:rsidR="0004484A" w:rsidRDefault="0004484A" w:rsidP="0004484A">
      <w:pPr>
        <w:rPr>
          <w:b/>
          <w:bCs/>
        </w:rPr>
      </w:pPr>
      <w:r w:rsidRPr="0004484A">
        <w:rPr>
          <w:b/>
          <w:bCs/>
        </w:rPr>
        <w:t>CFTEP Summary </w:t>
      </w:r>
    </w:p>
    <w:p w14:paraId="15BD0145" w14:textId="76181ED8" w:rsidR="0004484A" w:rsidRPr="0004484A" w:rsidRDefault="0004484A" w:rsidP="0004484A">
      <w:r w:rsidRPr="0004484A">
        <w:t>Dr. Renee Oleck, USDA APHIS VS</w:t>
      </w:r>
    </w:p>
    <w:p w14:paraId="1CA9016D" w14:textId="77777777" w:rsidR="0004484A" w:rsidRPr="0004484A" w:rsidRDefault="0004484A" w:rsidP="0004484A">
      <w:pPr>
        <w:rPr>
          <w:b/>
          <w:bCs/>
        </w:rPr>
      </w:pPr>
    </w:p>
    <w:p w14:paraId="2BEEC144" w14:textId="1664463F" w:rsidR="0004484A" w:rsidRPr="0004484A" w:rsidRDefault="0004484A" w:rsidP="0004484A">
      <w:r w:rsidRPr="0004484A">
        <w:rPr>
          <w:b/>
          <w:bCs/>
        </w:rPr>
        <w:t> </w:t>
      </w:r>
      <w:r w:rsidRPr="0004484A">
        <w:t>USDA APHIS VS continues to operate the Cattle Fever Tick Eradication Program as in past years. Changes this year include naming Don Herriott as the acting CFTEP Director after the departure of John Picanso, and increased activities for tick riders in response to the northward movement of New World screwworm from Central America. In March of this year, tick riders began inspecting apprehended stray cattle and horses for New World screwworm and providing preventative treatments prior to release. In addition, tick riders are monitoring fly traps along the border with Mexico for incursion of New World screwworm.  CFT infestations have steadily decreased since 2017, although there was a slight increase in infested premises in the systematic area this year compared to last year.  Pending resource availability, the program would like to tackle a few new geospatial projects in 2026 or beyond including mapping of white-tailed deer and nilgai movements to predict new CFT infestations.  Projects will be heavily dependent on New World screwworm activities.  </w:t>
      </w:r>
    </w:p>
    <w:p w14:paraId="76548B33" w14:textId="2F5256A5" w:rsidR="0095554B" w:rsidRPr="0004484A" w:rsidRDefault="0095554B" w:rsidP="00F53073"/>
    <w:p w14:paraId="5F029B00" w14:textId="77777777" w:rsidR="00CF5682" w:rsidRPr="00CF5682" w:rsidRDefault="00CF5682" w:rsidP="00CF5682">
      <w:pPr>
        <w:rPr>
          <w:rFonts w:cs="Arial"/>
          <w:b/>
          <w:bCs/>
        </w:rPr>
      </w:pPr>
      <w:r w:rsidRPr="00CF5682">
        <w:rPr>
          <w:rFonts w:cs="Arial"/>
          <w:b/>
          <w:bCs/>
        </w:rPr>
        <w:lastRenderedPageBreak/>
        <w:t>Summary for USAHA Committee on Parasitic and Vector-Borne Diseases</w:t>
      </w:r>
    </w:p>
    <w:p w14:paraId="0201259F" w14:textId="77777777" w:rsidR="00CF5682" w:rsidRPr="00CF5682" w:rsidRDefault="00CF5682" w:rsidP="00CF5682">
      <w:pPr>
        <w:contextualSpacing/>
        <w:rPr>
          <w:rFonts w:cs="Arial"/>
          <w:b/>
          <w:bCs/>
        </w:rPr>
      </w:pPr>
      <w:r w:rsidRPr="00CF5682">
        <w:rPr>
          <w:rFonts w:cs="Arial"/>
          <w:b/>
          <w:bCs/>
        </w:rPr>
        <w:t>Equine Regulatory Diseases Update</w:t>
      </w:r>
    </w:p>
    <w:p w14:paraId="010CF758" w14:textId="77777777" w:rsidR="00CF5682" w:rsidRPr="00CF5682" w:rsidRDefault="00CF5682" w:rsidP="00CF5682">
      <w:pPr>
        <w:contextualSpacing/>
        <w:rPr>
          <w:rFonts w:cs="Arial"/>
        </w:rPr>
      </w:pPr>
      <w:r w:rsidRPr="00CF5682">
        <w:rPr>
          <w:rFonts w:cs="Arial"/>
        </w:rPr>
        <w:t>Angela Pelzel-McCluskey, DVM, MS</w:t>
      </w:r>
    </w:p>
    <w:p w14:paraId="69798F62" w14:textId="77777777" w:rsidR="00CF5682" w:rsidRPr="00CF5682" w:rsidRDefault="00CF5682" w:rsidP="00CF5682">
      <w:pPr>
        <w:contextualSpacing/>
        <w:rPr>
          <w:rFonts w:cs="Arial"/>
        </w:rPr>
      </w:pPr>
      <w:r w:rsidRPr="00CF5682">
        <w:rPr>
          <w:rFonts w:cs="Arial"/>
        </w:rPr>
        <w:t>USDA-APHIS-Veterinary Services</w:t>
      </w:r>
    </w:p>
    <w:p w14:paraId="777E9E13" w14:textId="77777777" w:rsidR="00CF5682" w:rsidRPr="00CF5682" w:rsidRDefault="00CF5682" w:rsidP="00CF5682">
      <w:pPr>
        <w:contextualSpacing/>
        <w:rPr>
          <w:rFonts w:cs="Arial"/>
        </w:rPr>
      </w:pPr>
      <w:r w:rsidRPr="00CF5682">
        <w:rPr>
          <w:rFonts w:cs="Arial"/>
        </w:rPr>
        <w:t>October 2025</w:t>
      </w:r>
    </w:p>
    <w:p w14:paraId="7835AAB2" w14:textId="77777777" w:rsidR="00CF5682" w:rsidRPr="00CF5682" w:rsidRDefault="00CF5682" w:rsidP="00CF5682">
      <w:pPr>
        <w:contextualSpacing/>
        <w:jc w:val="center"/>
        <w:rPr>
          <w:rFonts w:cs="Arial"/>
        </w:rPr>
      </w:pPr>
    </w:p>
    <w:p w14:paraId="3DE25AB6" w14:textId="77777777" w:rsidR="00CF5682" w:rsidRPr="00CF5682" w:rsidRDefault="00CF5682" w:rsidP="00CF5682">
      <w:pPr>
        <w:contextualSpacing/>
        <w:rPr>
          <w:rFonts w:cs="Arial"/>
        </w:rPr>
      </w:pPr>
      <w:r w:rsidRPr="00CF5682">
        <w:rPr>
          <w:rFonts w:cs="Arial"/>
        </w:rPr>
        <w:t xml:space="preserve">Highlights of recent cases and outbreaks of equine regulatory parasitic and vector-borne diseases were presented to the committee including updates on Eastern equine encephalitis (EEE), West Nile virus (WNV), equine piroplasmosis (EP), and equine infectious anemia (EIA).  During calendar year 2024, there were 129 cases of EEE and 240 cases of WNV diagnostically confirmed and reported in equids in the U.S.  These case counts were compiled from CDC’s </w:t>
      </w:r>
      <w:proofErr w:type="spellStart"/>
      <w:r w:rsidRPr="00CF5682">
        <w:rPr>
          <w:rFonts w:cs="Arial"/>
        </w:rPr>
        <w:t>ArboNET</w:t>
      </w:r>
      <w:proofErr w:type="spellEnd"/>
      <w:r w:rsidRPr="00CF5682">
        <w:rPr>
          <w:rFonts w:cs="Arial"/>
        </w:rPr>
        <w:t xml:space="preserve"> database and were further validated and posted to USDA-APHIS’s online Equine Arbovirus Dashboard (</w:t>
      </w:r>
      <w:hyperlink r:id="rId5" w:history="1">
        <w:r w:rsidRPr="00CF5682">
          <w:rPr>
            <w:rStyle w:val="Hyperlink"/>
            <w:rFonts w:cs="Arial"/>
          </w:rPr>
          <w:t>https://www.aphis.usda.gov/livestock-poultry-disease/equine/arbovirus-dashboard</w:t>
        </w:r>
      </w:hyperlink>
      <w:r w:rsidRPr="00CF5682">
        <w:rPr>
          <w:rFonts w:cs="Arial"/>
        </w:rPr>
        <w:t xml:space="preserve">).  So far in 2025, 61 cases of EEE and 186 cases of WNV in equids have been posted to the Equine Arbovirus Dashboard, although the current case counts posted are known to lag slightly behind actual reporting by a few weeks due to slower data transfer through CDC’s </w:t>
      </w:r>
      <w:proofErr w:type="spellStart"/>
      <w:r w:rsidRPr="00CF5682">
        <w:rPr>
          <w:rFonts w:cs="Arial"/>
        </w:rPr>
        <w:t>ArboNET</w:t>
      </w:r>
      <w:proofErr w:type="spellEnd"/>
      <w:r w:rsidRPr="00CF5682">
        <w:rPr>
          <w:rFonts w:cs="Arial"/>
        </w:rPr>
        <w:t xml:space="preserve"> this year. Cases of EEE and WNV in equids typically occur in unvaccinated or under-vaccinated animals and are known to be historically underreported due to inherent costs necessarily incurred for diagnostic testing to confirm cases. </w:t>
      </w:r>
    </w:p>
    <w:p w14:paraId="2FBECF43" w14:textId="77777777" w:rsidR="00CF5682" w:rsidRPr="00CF5682" w:rsidRDefault="00CF5682" w:rsidP="00CF5682">
      <w:pPr>
        <w:contextualSpacing/>
        <w:rPr>
          <w:rFonts w:cs="Arial"/>
        </w:rPr>
      </w:pPr>
    </w:p>
    <w:p w14:paraId="4621FA55" w14:textId="77777777" w:rsidR="00CF5682" w:rsidRPr="00CF5682" w:rsidRDefault="00CF5682" w:rsidP="00CF5682">
      <w:pPr>
        <w:contextualSpacing/>
        <w:rPr>
          <w:rFonts w:cs="Arial"/>
        </w:rPr>
      </w:pPr>
      <w:r w:rsidRPr="00CF5682">
        <w:rPr>
          <w:rFonts w:cs="Arial"/>
        </w:rPr>
        <w:t xml:space="preserve">In calendar year 2024, there were 20,105 domestic horses tested for equine piroplasmosis in the U.S., which was about the same amount of surveillance testing conducted the previous year.  In 2024, there were 12 cases of </w:t>
      </w:r>
      <w:r w:rsidRPr="00CF5682">
        <w:rPr>
          <w:rFonts w:cs="Arial"/>
          <w:i/>
          <w:iCs/>
        </w:rPr>
        <w:t xml:space="preserve">Theileria equi </w:t>
      </w:r>
      <w:r w:rsidRPr="00CF5682">
        <w:rPr>
          <w:rFonts w:cs="Arial"/>
        </w:rPr>
        <w:t xml:space="preserve">confirmed in 7 states (Arizona, Georgia, Indiana, Nebraska, North Carolina, Texas, and Wyoming).  Five (5) of these cases were in Quarter Horse racehorses with iatrogenic transmission identified as the cause of spread, five (5) cases were in horses either suspected or confirmed to have been illegally moved from Mexico where the disease is endemic, and 2 cases were in foals born to EP-positive mares in which in utero transmission likely occurred.  Of the total 12 cases confirmed, 3 cases were found to be dually infected with EIA virus.  </w:t>
      </w:r>
    </w:p>
    <w:p w14:paraId="208D632D" w14:textId="77777777" w:rsidR="00CF5682" w:rsidRPr="00CF5682" w:rsidRDefault="00CF5682" w:rsidP="00CF5682">
      <w:pPr>
        <w:contextualSpacing/>
        <w:rPr>
          <w:rFonts w:cs="Arial"/>
        </w:rPr>
      </w:pPr>
    </w:p>
    <w:p w14:paraId="6B227615" w14:textId="77777777" w:rsidR="00CF5682" w:rsidRPr="00CF5682" w:rsidRDefault="00CF5682" w:rsidP="00CF5682">
      <w:pPr>
        <w:contextualSpacing/>
        <w:rPr>
          <w:rFonts w:cs="Arial"/>
        </w:rPr>
      </w:pPr>
      <w:r w:rsidRPr="00CF5682">
        <w:rPr>
          <w:rFonts w:cs="Arial"/>
        </w:rPr>
        <w:t xml:space="preserve">In calendar year 2024, there were 147 EIA cases confirmed in the U.S. located in 12 states (Arizona, California, Connecticut, Illinois, Louisiana, Nebraska, New Mexico, North Carolina, South Carolina, Tennessee, Texas, Wyoming).  Of the 147 cases, 120 were in Quarter Horse racehorses and 5 were in Thoroughbred racehorses with iatrogenic transmission identified as the cause of spread.  There were 10 cases in horses that were either suspected or confirmed to have moved illegally from Mexico where the disease is endemic.  Of the remaining 12 cases, 1 was in a horse from an untested/under-tested population, 5 were in horses associated with an outbreak caused by iatrogenic transmission at a veterinary clinic in Texas, and 6 cases were of undetermined source.  </w:t>
      </w:r>
    </w:p>
    <w:p w14:paraId="2419016F" w14:textId="77777777" w:rsidR="00CF5682" w:rsidRPr="00CF5682" w:rsidRDefault="00CF5682" w:rsidP="00CF5682">
      <w:pPr>
        <w:contextualSpacing/>
        <w:rPr>
          <w:rFonts w:cs="Arial"/>
        </w:rPr>
      </w:pPr>
    </w:p>
    <w:p w14:paraId="6E58D843" w14:textId="77777777" w:rsidR="00CF5682" w:rsidRPr="00CF5682" w:rsidRDefault="00CF5682" w:rsidP="00CF5682">
      <w:pPr>
        <w:contextualSpacing/>
        <w:rPr>
          <w:rFonts w:cs="Arial"/>
        </w:rPr>
      </w:pPr>
      <w:r w:rsidRPr="00CF5682">
        <w:rPr>
          <w:rFonts w:cs="Arial"/>
        </w:rPr>
        <w:t xml:space="preserve">There were 2 significant clusters of EIA cases during 2024 and 2025 which were highlighted in both social and mainstream media.  In September/October 2024, a multi-state cluster of 25 EIA cases in sanctioned Quarter Horse racehorses under a single trainer was identified in 3 states (California-12, New Mexico-2, Texas-11).  Epidemiological investigation found that the infection had been </w:t>
      </w:r>
      <w:proofErr w:type="spellStart"/>
      <w:r w:rsidRPr="00CF5682">
        <w:rPr>
          <w:rFonts w:cs="Arial"/>
        </w:rPr>
        <w:t>iatrogenically</w:t>
      </w:r>
      <w:proofErr w:type="spellEnd"/>
      <w:r w:rsidRPr="00CF5682">
        <w:rPr>
          <w:rFonts w:cs="Arial"/>
        </w:rPr>
        <w:t xml:space="preserve"> transmitted between the trainer’s horses when a bottle of an illicit performance enhancing injectable substance (Robinson’s juice) became repeatedly blood-contaminated by double dipping into the bottle with the same needle between horses.  Most of the horses became infected in Ruidoso and Albuquerque during their preparation to race in the All-American Futurity trials and finals races in August/September 2024.  In February 2025, the New Mexico Racing Commission announced the finding of illicit </w:t>
      </w:r>
      <w:proofErr w:type="spellStart"/>
      <w:r w:rsidRPr="00CF5682">
        <w:rPr>
          <w:rFonts w:cs="Arial"/>
        </w:rPr>
        <w:t>carmoterol</w:t>
      </w:r>
      <w:proofErr w:type="spellEnd"/>
      <w:r w:rsidRPr="00CF5682">
        <w:rPr>
          <w:rFonts w:cs="Arial"/>
        </w:rPr>
        <w:t>, a non-FDA approved beta agonist performance enhancing drug, in the September 2</w:t>
      </w:r>
      <w:r w:rsidRPr="00CF5682">
        <w:rPr>
          <w:rFonts w:cs="Arial"/>
          <w:vertAlign w:val="superscript"/>
        </w:rPr>
        <w:t>nd</w:t>
      </w:r>
      <w:r w:rsidRPr="00CF5682">
        <w:rPr>
          <w:rFonts w:cs="Arial"/>
        </w:rPr>
        <w:t xml:space="preserve"> post-race samples from 5 of the ultimately EIA-positive horses.  This finding indicated that </w:t>
      </w:r>
      <w:proofErr w:type="spellStart"/>
      <w:r w:rsidRPr="00CF5682">
        <w:rPr>
          <w:rFonts w:cs="Arial"/>
        </w:rPr>
        <w:t>carmoterol</w:t>
      </w:r>
      <w:proofErr w:type="spellEnd"/>
      <w:r w:rsidRPr="00CF5682">
        <w:rPr>
          <w:rFonts w:cs="Arial"/>
        </w:rPr>
        <w:t xml:space="preserve"> was likely one of the performance enhancing substances in the illicit Robinson’s juice which served as the vehicle of EIA transmission among the affected trainer’s horses.  </w:t>
      </w:r>
    </w:p>
    <w:p w14:paraId="616D737B" w14:textId="77777777" w:rsidR="00CF5682" w:rsidRPr="00CF5682" w:rsidRDefault="00CF5682" w:rsidP="00CF5682">
      <w:pPr>
        <w:contextualSpacing/>
        <w:rPr>
          <w:rFonts w:cs="Arial"/>
        </w:rPr>
      </w:pPr>
    </w:p>
    <w:p w14:paraId="3EF41A50" w14:textId="77777777" w:rsidR="00CF5682" w:rsidRPr="00CF5682" w:rsidRDefault="00CF5682" w:rsidP="00CF5682">
      <w:pPr>
        <w:contextualSpacing/>
        <w:rPr>
          <w:rFonts w:cs="Arial"/>
        </w:rPr>
      </w:pPr>
      <w:r w:rsidRPr="00CF5682">
        <w:rPr>
          <w:rFonts w:cs="Arial"/>
        </w:rPr>
        <w:t xml:space="preserve">A second EIA cluster with widespread media coverage was identified in early 2025 when horses were found EIA infected in an outbreak associated with iatrogenic transmission at an equine veterinary clinic in Texas.  There have been 24 EIA-infected horses found to date in 4 states (California-1, Colorado-1, Oklahoma-4, Texas-18) and all horses became infected while hospitalized at the Texas equine clinic in either May or July/August 2024.  Epidemiological investigation has found the horses became infected through repeated blood-contamination of multiple bottles of heparinized saline being used at the clinic to flush intravenous catheters.  Two pathways involving routine reuse of syringes by multiple employees at the clinic led to blood-contamination of the heparinized saline bottles. The original source of EIA virus in this outbreak was a Quarter Horse racehorse mare participating in </w:t>
      </w:r>
      <w:proofErr w:type="spellStart"/>
      <w:r w:rsidRPr="00CF5682">
        <w:rPr>
          <w:rFonts w:cs="Arial"/>
        </w:rPr>
        <w:t>bushtrack</w:t>
      </w:r>
      <w:proofErr w:type="spellEnd"/>
      <w:r w:rsidRPr="00CF5682">
        <w:rPr>
          <w:rFonts w:cs="Arial"/>
        </w:rPr>
        <w:t xml:space="preserve"> racing who had been admitted to the clinic with clinical signs compatible with acute EIA-infection in May 2024, but she was never tested or diagnosed with EIA.  She died while under the clinic’s care and subsequent testing at her home premises conducted in April 2025 confirmed EIA-infection in 2 other </w:t>
      </w:r>
      <w:proofErr w:type="spellStart"/>
      <w:r w:rsidRPr="00CF5682">
        <w:rPr>
          <w:rFonts w:cs="Arial"/>
        </w:rPr>
        <w:t>bushtrack</w:t>
      </w:r>
      <w:proofErr w:type="spellEnd"/>
      <w:r w:rsidRPr="00CF5682">
        <w:rPr>
          <w:rFonts w:cs="Arial"/>
        </w:rPr>
        <w:t xml:space="preserve"> Quarter Horse racehorses on the property.  Identification and testing of additional exposed horses in this outbreak is ongoing.  </w:t>
      </w:r>
    </w:p>
    <w:p w14:paraId="697D053F" w14:textId="77777777" w:rsidR="00CF5682" w:rsidRPr="00CF5682" w:rsidRDefault="00CF5682" w:rsidP="00340797">
      <w:pPr>
        <w:rPr>
          <w:rFonts w:cs="Arial"/>
          <w:b/>
          <w:bCs/>
        </w:rPr>
      </w:pPr>
    </w:p>
    <w:p w14:paraId="41E2173F" w14:textId="77777777" w:rsidR="00CF5682" w:rsidRDefault="00CF5682" w:rsidP="0095554B">
      <w:pPr>
        <w:rPr>
          <w:b/>
          <w:bCs/>
        </w:rPr>
      </w:pPr>
    </w:p>
    <w:p w14:paraId="11774E54" w14:textId="77777777" w:rsidR="00CF5682" w:rsidRDefault="00CF5682" w:rsidP="0095554B">
      <w:pPr>
        <w:rPr>
          <w:b/>
          <w:bCs/>
        </w:rPr>
      </w:pPr>
    </w:p>
    <w:p w14:paraId="558CD478" w14:textId="6429063C" w:rsidR="0095554B" w:rsidRDefault="0095554B" w:rsidP="0095554B">
      <w:pPr>
        <w:rPr>
          <w:b/>
          <w:bCs/>
        </w:rPr>
      </w:pPr>
      <w:r>
        <w:rPr>
          <w:b/>
          <w:bCs/>
        </w:rPr>
        <w:lastRenderedPageBreak/>
        <w:t xml:space="preserve">Committee Business: </w:t>
      </w:r>
    </w:p>
    <w:p w14:paraId="14E11FB7" w14:textId="77777777" w:rsidR="00CC7693" w:rsidRDefault="00CC7693" w:rsidP="0095554B">
      <w:pPr>
        <w:rPr>
          <w:b/>
          <w:bCs/>
        </w:rPr>
      </w:pPr>
    </w:p>
    <w:p w14:paraId="3BE99B01" w14:textId="68C11FCC" w:rsidR="00CC7693" w:rsidRDefault="00CC7693" w:rsidP="0095554B">
      <w:r>
        <w:t>The committee reviewed the final response from USDA APHIS for the 2024 New World Screwworm resolution.</w:t>
      </w:r>
    </w:p>
    <w:p w14:paraId="53EDC846" w14:textId="77777777" w:rsidR="00CC7693" w:rsidRPr="00CC7693" w:rsidRDefault="00CC7693" w:rsidP="0095554B"/>
    <w:p w14:paraId="188A5D41" w14:textId="029C51FD" w:rsidR="0095554B" w:rsidRDefault="00655965" w:rsidP="00CC7693">
      <w:r>
        <w:t xml:space="preserve">The committee reviewed, considered, and adopted a resolution on </w:t>
      </w:r>
      <w:r w:rsidR="00CC7693">
        <w:t xml:space="preserve">a </w:t>
      </w:r>
      <w:r>
        <w:t xml:space="preserve">new world screwworm </w:t>
      </w:r>
      <w:r w:rsidR="00CC7693">
        <w:t>decision matrix. The committee revised a proposed resolution into a recommendation, requesting USAHA members aid in development of and participate in a New World Screwworm task force.</w:t>
      </w:r>
    </w:p>
    <w:p w14:paraId="17C5AC3C" w14:textId="3A457D1A" w:rsidR="00655965" w:rsidRPr="00655965" w:rsidRDefault="00655965" w:rsidP="00CC7693"/>
    <w:p w14:paraId="18F37E84" w14:textId="203BD496" w:rsidR="00A3553A" w:rsidRPr="00676D63" w:rsidRDefault="00A3553A" w:rsidP="00A3553A">
      <w:r w:rsidRPr="00676D63">
        <w:t xml:space="preserve">Meeting called to order at </w:t>
      </w:r>
      <w:r w:rsidR="00612AE4">
        <w:t>3</w:t>
      </w:r>
      <w:r w:rsidR="00046AB8">
        <w:t>:15PM</w:t>
      </w:r>
    </w:p>
    <w:p w14:paraId="50494852" w14:textId="77777777" w:rsidR="00A3553A" w:rsidRPr="00676D63" w:rsidRDefault="00A3553A" w:rsidP="00A3553A"/>
    <w:p w14:paraId="26685EBD" w14:textId="77777777" w:rsidR="00A3553A" w:rsidRPr="00676D63" w:rsidRDefault="00A3553A" w:rsidP="00A3553A">
      <w:pPr>
        <w:pStyle w:val="ListParagraph"/>
        <w:numPr>
          <w:ilvl w:val="0"/>
          <w:numId w:val="3"/>
        </w:numPr>
      </w:pPr>
      <w:r w:rsidRPr="00676D63">
        <w:t>Review of mission</w:t>
      </w:r>
    </w:p>
    <w:p w14:paraId="1298AF0A" w14:textId="77777777" w:rsidR="00046AB8" w:rsidRDefault="00A3553A" w:rsidP="00D95C8B">
      <w:pPr>
        <w:pStyle w:val="ListParagraph"/>
        <w:numPr>
          <w:ilvl w:val="0"/>
          <w:numId w:val="3"/>
        </w:numPr>
      </w:pPr>
      <w:r w:rsidRPr="00676D63">
        <w:t>Old Business</w:t>
      </w:r>
    </w:p>
    <w:p w14:paraId="7CF15233" w14:textId="77777777" w:rsidR="00046AB8" w:rsidRDefault="00046AB8" w:rsidP="00046AB8">
      <w:pPr>
        <w:pStyle w:val="ListParagraph"/>
        <w:numPr>
          <w:ilvl w:val="1"/>
          <w:numId w:val="3"/>
        </w:numPr>
      </w:pPr>
      <w:r>
        <w:t>Response to 2024 Resolution</w:t>
      </w:r>
    </w:p>
    <w:p w14:paraId="41E9237F" w14:textId="77777777" w:rsidR="00046AB8" w:rsidRDefault="00046AB8" w:rsidP="00046AB8">
      <w:pPr>
        <w:pStyle w:val="ListParagraph"/>
        <w:numPr>
          <w:ilvl w:val="2"/>
          <w:numId w:val="3"/>
        </w:numPr>
      </w:pPr>
      <w:r>
        <w:t>Motion to accept option “A” and close resolution</w:t>
      </w:r>
    </w:p>
    <w:p w14:paraId="65FAAB9D" w14:textId="5BF24A02" w:rsidR="00046AB8" w:rsidRDefault="00046AB8" w:rsidP="00046AB8">
      <w:pPr>
        <w:pStyle w:val="ListParagraph"/>
        <w:numPr>
          <w:ilvl w:val="3"/>
          <w:numId w:val="3"/>
        </w:numPr>
      </w:pPr>
      <w:r>
        <w:t>Made by Peter Mundschenk</w:t>
      </w:r>
    </w:p>
    <w:p w14:paraId="4AE3AC63" w14:textId="35B20E8A" w:rsidR="00D95C8B" w:rsidRDefault="00046AB8" w:rsidP="00046AB8">
      <w:pPr>
        <w:pStyle w:val="ListParagraph"/>
        <w:numPr>
          <w:ilvl w:val="3"/>
          <w:numId w:val="3"/>
        </w:numPr>
      </w:pPr>
      <w:r>
        <w:t>Second by Dusty Oedekoven</w:t>
      </w:r>
      <w:r w:rsidR="00A3553A" w:rsidRPr="00676D63">
        <w:t xml:space="preserve"> </w:t>
      </w:r>
    </w:p>
    <w:p w14:paraId="45B05DFE" w14:textId="77777777" w:rsidR="00D95C8B" w:rsidRPr="00D95C8B" w:rsidRDefault="00A3553A" w:rsidP="00D95C8B">
      <w:pPr>
        <w:pStyle w:val="ListParagraph"/>
        <w:numPr>
          <w:ilvl w:val="0"/>
          <w:numId w:val="3"/>
        </w:numPr>
      </w:pPr>
      <w:r w:rsidRPr="00D95C8B">
        <w:rPr>
          <w:b/>
          <w:bCs/>
        </w:rPr>
        <w:t xml:space="preserve">New Business – </w:t>
      </w:r>
    </w:p>
    <w:p w14:paraId="11D2F4B4" w14:textId="77777777" w:rsidR="00046AB8" w:rsidRDefault="00046AB8" w:rsidP="00D95C8B">
      <w:pPr>
        <w:pStyle w:val="ListParagraph"/>
        <w:numPr>
          <w:ilvl w:val="1"/>
          <w:numId w:val="3"/>
        </w:numPr>
      </w:pPr>
      <w:r>
        <w:t>Recommendation from the Committee on Foreign and Emerging Diseases</w:t>
      </w:r>
    </w:p>
    <w:p w14:paraId="45416913" w14:textId="77777777" w:rsidR="00046AB8" w:rsidRDefault="00046AB8" w:rsidP="00046AB8">
      <w:pPr>
        <w:pStyle w:val="ListParagraph"/>
        <w:numPr>
          <w:ilvl w:val="2"/>
          <w:numId w:val="3"/>
        </w:numPr>
      </w:pPr>
      <w:r>
        <w:t>Motion to co-sponsor recommendation</w:t>
      </w:r>
    </w:p>
    <w:p w14:paraId="654E5AD2" w14:textId="77777777" w:rsidR="00046AB8" w:rsidRDefault="00046AB8" w:rsidP="00046AB8">
      <w:pPr>
        <w:pStyle w:val="ListParagraph"/>
        <w:numPr>
          <w:ilvl w:val="3"/>
          <w:numId w:val="3"/>
        </w:numPr>
      </w:pPr>
      <w:r>
        <w:t>Made by Diane Kitchen, seconded by Mike Short</w:t>
      </w:r>
    </w:p>
    <w:p w14:paraId="082E42FE" w14:textId="77777777" w:rsidR="00046AB8" w:rsidRDefault="00046AB8" w:rsidP="00046AB8">
      <w:pPr>
        <w:pStyle w:val="ListParagraph"/>
        <w:numPr>
          <w:ilvl w:val="2"/>
          <w:numId w:val="3"/>
        </w:numPr>
      </w:pPr>
      <w:r>
        <w:t>Motion to amend to include biological and pharmaceutical industry partners</w:t>
      </w:r>
    </w:p>
    <w:p w14:paraId="51F32CD7" w14:textId="77777777" w:rsidR="00046AB8" w:rsidRDefault="00046AB8" w:rsidP="00046AB8">
      <w:pPr>
        <w:pStyle w:val="ListParagraph"/>
        <w:numPr>
          <w:ilvl w:val="3"/>
          <w:numId w:val="3"/>
        </w:numPr>
      </w:pPr>
      <w:r>
        <w:t>Made by Allan Young, seconded by Thach Winslow</w:t>
      </w:r>
    </w:p>
    <w:p w14:paraId="53E300B8" w14:textId="77777777" w:rsidR="00046AB8" w:rsidRDefault="00046AB8" w:rsidP="00046AB8">
      <w:pPr>
        <w:pStyle w:val="ListParagraph"/>
        <w:numPr>
          <w:ilvl w:val="3"/>
          <w:numId w:val="3"/>
        </w:numPr>
      </w:pPr>
      <w:r>
        <w:t xml:space="preserve">Motion </w:t>
      </w:r>
      <w:proofErr w:type="gramStart"/>
      <w:r>
        <w:t>carried</w:t>
      </w:r>
      <w:proofErr w:type="gramEnd"/>
      <w:r>
        <w:t xml:space="preserve"> and amendment adopted</w:t>
      </w:r>
    </w:p>
    <w:p w14:paraId="0C3C6C82" w14:textId="77777777" w:rsidR="00046AB8" w:rsidRDefault="00046AB8" w:rsidP="00046AB8">
      <w:pPr>
        <w:pStyle w:val="ListParagraph"/>
        <w:numPr>
          <w:ilvl w:val="2"/>
          <w:numId w:val="3"/>
        </w:numPr>
      </w:pPr>
      <w:r>
        <w:t>Vote to adopt amended recommendation</w:t>
      </w:r>
    </w:p>
    <w:p w14:paraId="186E072A" w14:textId="77777777" w:rsidR="00046AB8" w:rsidRDefault="00046AB8" w:rsidP="00046AB8">
      <w:pPr>
        <w:pStyle w:val="ListParagraph"/>
        <w:numPr>
          <w:ilvl w:val="3"/>
          <w:numId w:val="3"/>
        </w:numPr>
      </w:pPr>
      <w:r>
        <w:t xml:space="preserve">Motion </w:t>
      </w:r>
      <w:proofErr w:type="gramStart"/>
      <w:r>
        <w:t>carried</w:t>
      </w:r>
      <w:proofErr w:type="gramEnd"/>
      <w:r>
        <w:t xml:space="preserve"> and cosponsoring of recommendation passed</w:t>
      </w:r>
    </w:p>
    <w:p w14:paraId="2612CCE7" w14:textId="47FB76BC" w:rsidR="00CC7693" w:rsidRDefault="00046AB8" w:rsidP="00046AB8">
      <w:pPr>
        <w:pStyle w:val="ListParagraph"/>
        <w:numPr>
          <w:ilvl w:val="1"/>
          <w:numId w:val="3"/>
        </w:numPr>
      </w:pPr>
      <w:r>
        <w:t xml:space="preserve">Resolution by Dr. Diane </w:t>
      </w:r>
      <w:proofErr w:type="gramStart"/>
      <w:r>
        <w:t xml:space="preserve">Kitchen </w:t>
      </w:r>
      <w:r w:rsidR="004B68B6">
        <w:t xml:space="preserve"> -</w:t>
      </w:r>
      <w:proofErr w:type="gramEnd"/>
      <w:r w:rsidR="004B68B6">
        <w:t xml:space="preserve"> </w:t>
      </w:r>
      <w:r w:rsidR="004B68B6" w:rsidRPr="004B68B6">
        <w:t>Disease Specific Movement and Treatment Decision Matrix: A Web-based Tool for Veterinarians and Producers</w:t>
      </w:r>
    </w:p>
    <w:p w14:paraId="43EC6A14" w14:textId="531804B3" w:rsidR="004B68B6" w:rsidRDefault="004B68B6" w:rsidP="004B68B6">
      <w:pPr>
        <w:pStyle w:val="ListParagraph"/>
        <w:numPr>
          <w:ilvl w:val="2"/>
          <w:numId w:val="3"/>
        </w:numPr>
      </w:pPr>
      <w:r>
        <w:t>Motion to approve resolution</w:t>
      </w:r>
    </w:p>
    <w:p w14:paraId="53F6D367" w14:textId="6A8AB07E" w:rsidR="004B68B6" w:rsidRDefault="004B68B6" w:rsidP="004B68B6">
      <w:pPr>
        <w:pStyle w:val="ListParagraph"/>
        <w:numPr>
          <w:ilvl w:val="3"/>
          <w:numId w:val="3"/>
        </w:numPr>
      </w:pPr>
      <w:r>
        <w:t>Made by Diane Kitchen, seconded by Steve Struberg</w:t>
      </w:r>
    </w:p>
    <w:p w14:paraId="0898CCB5" w14:textId="2057EDFB" w:rsidR="004B68B6" w:rsidRDefault="004B68B6" w:rsidP="004B68B6">
      <w:pPr>
        <w:pStyle w:val="ListParagraph"/>
        <w:numPr>
          <w:ilvl w:val="2"/>
          <w:numId w:val="3"/>
        </w:numPr>
      </w:pPr>
      <w:r>
        <w:t>Motion to accept amendments</w:t>
      </w:r>
    </w:p>
    <w:p w14:paraId="64B1B115" w14:textId="03C5A567" w:rsidR="004B68B6" w:rsidRDefault="004B68B6" w:rsidP="004B68B6">
      <w:pPr>
        <w:pStyle w:val="ListParagraph"/>
        <w:numPr>
          <w:ilvl w:val="3"/>
          <w:numId w:val="3"/>
        </w:numPr>
      </w:pPr>
      <w:r>
        <w:t>Made by Katie Flynn, seconded by Thach Winslow</w:t>
      </w:r>
    </w:p>
    <w:p w14:paraId="1BC99D02" w14:textId="7FD92DAC" w:rsidR="004B68B6" w:rsidRDefault="004B68B6" w:rsidP="004B68B6">
      <w:pPr>
        <w:pStyle w:val="ListParagraph"/>
        <w:numPr>
          <w:ilvl w:val="3"/>
          <w:numId w:val="3"/>
        </w:numPr>
      </w:pPr>
      <w:r>
        <w:t>Motion carried and amendments passed</w:t>
      </w:r>
    </w:p>
    <w:p w14:paraId="03F9D924" w14:textId="68E8880D" w:rsidR="004B68B6" w:rsidRDefault="004B68B6" w:rsidP="004B68B6">
      <w:pPr>
        <w:pStyle w:val="ListParagraph"/>
        <w:numPr>
          <w:ilvl w:val="2"/>
          <w:numId w:val="3"/>
        </w:numPr>
      </w:pPr>
      <w:r>
        <w:t>Vote to approve</w:t>
      </w:r>
    </w:p>
    <w:p w14:paraId="6D759DCA" w14:textId="6DE6ED52" w:rsidR="004B68B6" w:rsidRDefault="004B68B6" w:rsidP="004B68B6">
      <w:pPr>
        <w:pStyle w:val="ListParagraph"/>
        <w:numPr>
          <w:ilvl w:val="3"/>
          <w:numId w:val="3"/>
        </w:numPr>
      </w:pPr>
      <w:r>
        <w:t>Motion carried to adopt resolution</w:t>
      </w:r>
    </w:p>
    <w:p w14:paraId="39804E1F" w14:textId="66FECEFD" w:rsidR="008715DB" w:rsidRDefault="008715DB" w:rsidP="008715DB">
      <w:pPr>
        <w:pStyle w:val="ListParagraph"/>
        <w:numPr>
          <w:ilvl w:val="0"/>
          <w:numId w:val="3"/>
        </w:numPr>
      </w:pPr>
      <w:r>
        <w:t>Announcements</w:t>
      </w:r>
    </w:p>
    <w:p w14:paraId="3586B758" w14:textId="77D2AC94" w:rsidR="00503190" w:rsidRDefault="00503190" w:rsidP="00503190">
      <w:pPr>
        <w:pStyle w:val="ListParagraph"/>
        <w:numPr>
          <w:ilvl w:val="1"/>
          <w:numId w:val="3"/>
        </w:numPr>
      </w:pPr>
      <w:r>
        <w:t>TR</w:t>
      </w:r>
      <w:r w:rsidR="008C43F5">
        <w:t xml:space="preserve"> Lansford was invited to participate in the </w:t>
      </w:r>
      <w:r w:rsidR="00C11735" w:rsidRPr="00C11735">
        <w:t>Food and Agriculture Organization of the UN (FAO), the CSIS Global Food and Water Security Program roundtable discussion on the response to New World screwworm featuring stakeholders across the public and private sectors as well as academia. The discussion will focus on the response needed to control the spread and impact of the new world screwworm, including efforts towards more robust surveillance, private sector partnerships, and investments in biosecurity measures.</w:t>
      </w:r>
    </w:p>
    <w:p w14:paraId="17435E88" w14:textId="753709A2" w:rsidR="008715DB" w:rsidRDefault="008715DB" w:rsidP="008715DB">
      <w:pPr>
        <w:pStyle w:val="ListParagraph"/>
        <w:numPr>
          <w:ilvl w:val="0"/>
          <w:numId w:val="3"/>
        </w:numPr>
      </w:pPr>
      <w:r>
        <w:t xml:space="preserve">Motion to adjourn </w:t>
      </w:r>
      <w:r w:rsidR="00503190">
        <w:t>5:05</w:t>
      </w:r>
      <w:r>
        <w:t>PM</w:t>
      </w:r>
    </w:p>
    <w:p w14:paraId="299F15B6" w14:textId="77777777" w:rsidR="008130C6" w:rsidRDefault="008715DB" w:rsidP="00841244">
      <w:pPr>
        <w:pStyle w:val="ListParagraph"/>
        <w:numPr>
          <w:ilvl w:val="1"/>
          <w:numId w:val="3"/>
        </w:numPr>
      </w:pPr>
      <w:r>
        <w:t>Motion</w:t>
      </w:r>
      <w:r w:rsidR="00841244">
        <w:t xml:space="preserve"> made by Linda Logan; seconded by </w:t>
      </w:r>
      <w:r w:rsidR="008130C6">
        <w:t>Mike Short</w:t>
      </w:r>
    </w:p>
    <w:p w14:paraId="27D5B6DD" w14:textId="70296D7A" w:rsidR="008715DB" w:rsidRDefault="008715DB" w:rsidP="008715DB">
      <w:pPr>
        <w:pStyle w:val="ListParagraph"/>
        <w:numPr>
          <w:ilvl w:val="0"/>
          <w:numId w:val="3"/>
        </w:numPr>
      </w:pPr>
      <w:r>
        <w:t xml:space="preserve">Meeting adjourned at </w:t>
      </w:r>
      <w:r w:rsidR="008130C6">
        <w:t>5:06PM</w:t>
      </w:r>
    </w:p>
    <w:p w14:paraId="1E110D09" w14:textId="77777777" w:rsidR="008715DB" w:rsidRPr="00D95C8B" w:rsidRDefault="008715DB" w:rsidP="008130C6"/>
    <w:p w14:paraId="5709E35C" w14:textId="77777777" w:rsidR="005D6167" w:rsidRDefault="005D6167" w:rsidP="00CC7693">
      <w:pPr>
        <w:tabs>
          <w:tab w:val="left" w:pos="-720"/>
        </w:tabs>
        <w:suppressAutoHyphens/>
        <w:jc w:val="both"/>
      </w:pPr>
    </w:p>
    <w:p w14:paraId="7F4EF0AA" w14:textId="4E598382" w:rsidR="00CC7693" w:rsidRPr="005D6167" w:rsidRDefault="005D6167" w:rsidP="00CC7693">
      <w:pPr>
        <w:tabs>
          <w:tab w:val="left" w:pos="-720"/>
        </w:tabs>
        <w:suppressAutoHyphens/>
        <w:jc w:val="both"/>
      </w:pPr>
      <w:r w:rsidRPr="005D6167">
        <w:rPr>
          <w:b/>
          <w:bCs/>
        </w:rPr>
        <w:t>Recommendation</w:t>
      </w:r>
      <w:r>
        <w:rPr>
          <w:b/>
          <w:bCs/>
        </w:rPr>
        <w:t xml:space="preserve"> – </w:t>
      </w:r>
      <w:r>
        <w:t>PVBD co-sponsor with Committee on Foreign and Emerging Diseases</w:t>
      </w:r>
    </w:p>
    <w:p w14:paraId="68BAA939" w14:textId="77777777" w:rsidR="005D6167" w:rsidRPr="005D6167" w:rsidRDefault="005D6167" w:rsidP="00CC7693">
      <w:pPr>
        <w:tabs>
          <w:tab w:val="left" w:pos="-720"/>
        </w:tabs>
        <w:suppressAutoHyphens/>
        <w:jc w:val="both"/>
        <w:rPr>
          <w:b/>
          <w:bCs/>
        </w:rPr>
      </w:pPr>
    </w:p>
    <w:p w14:paraId="60BDD50C" w14:textId="77777777" w:rsidR="005D6167" w:rsidRDefault="005D6167" w:rsidP="005D6167">
      <w:pPr>
        <w:tabs>
          <w:tab w:val="left" w:pos="-720"/>
        </w:tabs>
        <w:jc w:val="both"/>
        <w:rPr>
          <w:rFonts w:eastAsia="Arial" w:cs="Arial"/>
          <w:b/>
        </w:rPr>
      </w:pPr>
      <w:r>
        <w:rPr>
          <w:rFonts w:eastAsia="Arial" w:cs="Arial"/>
          <w:b/>
        </w:rPr>
        <w:t>BACKGROUND INFORMATION:</w:t>
      </w:r>
    </w:p>
    <w:p w14:paraId="6DA32491" w14:textId="77777777" w:rsidR="005D6167" w:rsidRDefault="005D6167" w:rsidP="005D6167">
      <w:pPr>
        <w:tabs>
          <w:tab w:val="left" w:pos="-720"/>
        </w:tabs>
        <w:jc w:val="both"/>
        <w:rPr>
          <w:rFonts w:eastAsia="Arial" w:cs="Arial"/>
          <w:b/>
        </w:rPr>
      </w:pPr>
    </w:p>
    <w:p w14:paraId="26BECE81" w14:textId="77777777" w:rsidR="005D6167" w:rsidRDefault="005D6167" w:rsidP="005D6167">
      <w:pPr>
        <w:spacing w:after="160"/>
      </w:pPr>
      <w:r w:rsidRPr="65C96D60">
        <w:t xml:space="preserve">Whereas, the expansion of global movement and the northward ecological shift of New World Screwworm (NWS) has increased the risk of reintroduction into the United States; </w:t>
      </w:r>
    </w:p>
    <w:p w14:paraId="01050036" w14:textId="77777777" w:rsidR="005D6167" w:rsidRDefault="005D6167" w:rsidP="005D6167">
      <w:pPr>
        <w:spacing w:after="160"/>
      </w:pPr>
      <w:r>
        <w:t xml:space="preserve">the re-establishment of NWS in the United States would pose substantial threats to livestock production, wildlife, and public health; </w:t>
      </w:r>
    </w:p>
    <w:p w14:paraId="37E5C6D3" w14:textId="77777777" w:rsidR="005D6167" w:rsidRDefault="005D6167" w:rsidP="005D6167">
      <w:pPr>
        <w:spacing w:after="160"/>
      </w:pPr>
      <w:r>
        <w:t>and effective preparedness requires a scientific assessment of (1) the current NWS situation in Mexico and Central America, (2) the historical record of eradication programs and lessons learned, and (3) potential preventive and response measures, including the production and use of sterile male flies.</w:t>
      </w:r>
    </w:p>
    <w:p w14:paraId="516C326A" w14:textId="77777777" w:rsidR="005D6167" w:rsidRDefault="005D6167" w:rsidP="005D6167">
      <w:pPr>
        <w:jc w:val="both"/>
        <w:rPr>
          <w:rFonts w:eastAsia="Arial" w:cs="Arial"/>
          <w:b/>
          <w:bCs/>
        </w:rPr>
      </w:pPr>
      <w:r w:rsidRPr="2008CF0F">
        <w:rPr>
          <w:rFonts w:eastAsia="Arial" w:cs="Arial"/>
          <w:b/>
          <w:bCs/>
        </w:rPr>
        <w:t>RECOMMENDATION:</w:t>
      </w:r>
    </w:p>
    <w:p w14:paraId="3ED6E3BA" w14:textId="77777777" w:rsidR="005D6167" w:rsidRDefault="005D6167" w:rsidP="005D6167">
      <w:pPr>
        <w:tabs>
          <w:tab w:val="left" w:pos="-720"/>
        </w:tabs>
        <w:jc w:val="both"/>
        <w:rPr>
          <w:rFonts w:eastAsia="Arial" w:cs="Arial"/>
          <w:b/>
        </w:rPr>
      </w:pPr>
    </w:p>
    <w:p w14:paraId="54EB1A88" w14:textId="77777777" w:rsidR="005D6167" w:rsidRDefault="005D6167" w:rsidP="005D6167">
      <w:r w:rsidRPr="2008CF0F">
        <w:lastRenderedPageBreak/>
        <w:t xml:space="preserve">The FED Committee recommends that the United States Animal Health Association (USAHA) establish a task force that includes USDA and interested stakeholders, to assess options to reduce the risk of NWS introduction into the United States and to explore measures to mitigate its impact should re-entry occur; </w:t>
      </w:r>
    </w:p>
    <w:p w14:paraId="5A65A394" w14:textId="77777777" w:rsidR="005D6167" w:rsidRDefault="005D6167" w:rsidP="005D6167"/>
    <w:p w14:paraId="08414C3F" w14:textId="77777777" w:rsidR="005D6167" w:rsidRDefault="005D6167" w:rsidP="005D6167">
      <w:r>
        <w:t xml:space="preserve">Be it further recommended that this task force, in collaboration with APHIS technical staff and ARS researchers, shall strive to engage livestock industries, veterinary and entomological experts, wildlife professionals, land managers, and public health authorities to develop technically sound and practical procedures for prevention and response; </w:t>
      </w:r>
    </w:p>
    <w:p w14:paraId="4C16BA71" w14:textId="77777777" w:rsidR="005D6167" w:rsidRDefault="005D6167" w:rsidP="005D6167"/>
    <w:p w14:paraId="1EFB6BAD" w14:textId="77777777" w:rsidR="005D6167" w:rsidRDefault="005D6167" w:rsidP="005D6167">
      <w:r w:rsidRPr="2008CF0F">
        <w:t>Be it further recommended, that membership of the task force be comprised of qualified individuals committed to this national animal and public health concern. Furthermore, the task force members shall be, wherever feasible:</w:t>
      </w:r>
    </w:p>
    <w:p w14:paraId="2E5E9188" w14:textId="77777777" w:rsidR="005D6167" w:rsidRDefault="005D6167" w:rsidP="005D6167">
      <w:pPr>
        <w:numPr>
          <w:ilvl w:val="0"/>
          <w:numId w:val="7"/>
        </w:numPr>
        <w:pBdr>
          <w:top w:val="nil"/>
          <w:left w:val="nil"/>
          <w:bottom w:val="nil"/>
          <w:right w:val="nil"/>
          <w:between w:val="nil"/>
        </w:pBdr>
      </w:pPr>
      <w:r>
        <w:rPr>
          <w:color w:val="000000"/>
        </w:rPr>
        <w:t>Active USAHA members whose time on the task force shall be voluntary and unpaid, and</w:t>
      </w:r>
    </w:p>
    <w:p w14:paraId="7D01E565" w14:textId="43F0007F" w:rsidR="005D6167" w:rsidRDefault="005D6167" w:rsidP="005D6167">
      <w:pPr>
        <w:numPr>
          <w:ilvl w:val="0"/>
          <w:numId w:val="7"/>
        </w:numPr>
        <w:pBdr>
          <w:top w:val="nil"/>
          <w:left w:val="nil"/>
          <w:bottom w:val="nil"/>
          <w:right w:val="nil"/>
          <w:between w:val="nil"/>
        </w:pBdr>
      </w:pPr>
      <w:r w:rsidRPr="2008CF0F">
        <w:rPr>
          <w:color w:val="000000" w:themeColor="text1"/>
        </w:rPr>
        <w:t>Active APHIS and ARS experts whose time on the task force is part of the person’s roles and responsibilities within APHIS and ARS</w:t>
      </w:r>
    </w:p>
    <w:p w14:paraId="4CCA4F79" w14:textId="77777777" w:rsidR="005D6167" w:rsidRDefault="005D6167" w:rsidP="005D6167">
      <w:r w:rsidRPr="2008CF0F">
        <w:t xml:space="preserve">Be it finally recommended, that the task force shall deliver its first technical report by February 15, 2026, to the USAHA membership, APHIS, ARS, and interested stakeholders with said report including, but not limited to, scientific data, historical evidence, and information that addresses the following concerns: </w:t>
      </w:r>
    </w:p>
    <w:p w14:paraId="0857B17F" w14:textId="77777777" w:rsidR="005D6167" w:rsidRDefault="005D6167" w:rsidP="005D6167">
      <w:pPr>
        <w:numPr>
          <w:ilvl w:val="0"/>
          <w:numId w:val="6"/>
        </w:numPr>
      </w:pPr>
      <w:r>
        <w:rPr>
          <w:b/>
        </w:rPr>
        <w:t>Critical risk factors</w:t>
      </w:r>
      <w:r>
        <w:t xml:space="preserve"> – What are the primary factors that could increase the likelihood of the New World Screwworm (NWS) being introduced into U.S. soils?</w:t>
      </w:r>
    </w:p>
    <w:p w14:paraId="27411521" w14:textId="77777777" w:rsidR="005D6167" w:rsidRDefault="005D6167" w:rsidP="005D6167">
      <w:pPr>
        <w:numPr>
          <w:ilvl w:val="0"/>
          <w:numId w:val="6"/>
        </w:numPr>
      </w:pPr>
      <w:r>
        <w:rPr>
          <w:b/>
        </w:rPr>
        <w:t>Preventive options and limitations</w:t>
      </w:r>
      <w:r>
        <w:t xml:space="preserve"> – What measures are available to reduce the risk of such introductions, and what are their limitations?</w:t>
      </w:r>
    </w:p>
    <w:p w14:paraId="06D44B1D" w14:textId="77777777" w:rsidR="005D6167" w:rsidRDefault="005D6167" w:rsidP="005D6167">
      <w:pPr>
        <w:numPr>
          <w:ilvl w:val="0"/>
          <w:numId w:val="6"/>
        </w:numPr>
      </w:pPr>
      <w:r>
        <w:rPr>
          <w:b/>
        </w:rPr>
        <w:t>Technological applications</w:t>
      </w:r>
      <w:r>
        <w:t xml:space="preserve"> – To what extent can advanced technologies enhance the effectiveness of current sterilization programs in preventing NWS spread (e.g., managing variability in field strains, improving male-to-female production ratios)?</w:t>
      </w:r>
    </w:p>
    <w:p w14:paraId="19524CE3" w14:textId="77777777" w:rsidR="005D6167" w:rsidRDefault="005D6167" w:rsidP="005D6167">
      <w:pPr>
        <w:numPr>
          <w:ilvl w:val="0"/>
          <w:numId w:val="6"/>
        </w:numPr>
      </w:pPr>
      <w:r w:rsidRPr="65C96D60">
        <w:rPr>
          <w:b/>
          <w:bCs/>
        </w:rPr>
        <w:t>Early detection and surveillance</w:t>
      </w:r>
      <w:r w:rsidRPr="65C96D60">
        <w:t xml:space="preserve"> – How can emerging methods improve the early detection of infestations (e.g., mobile reporting apps, integration of relevant surveillance data)?</w:t>
      </w:r>
    </w:p>
    <w:p w14:paraId="055C6088" w14:textId="77777777" w:rsidR="005D6167" w:rsidRDefault="005D6167" w:rsidP="005D6167">
      <w:pPr>
        <w:numPr>
          <w:ilvl w:val="0"/>
          <w:numId w:val="6"/>
        </w:numPr>
      </w:pPr>
      <w:r>
        <w:rPr>
          <w:b/>
        </w:rPr>
        <w:t>Recommendations for State and Federal Regulatory Agencies</w:t>
      </w:r>
      <w:r>
        <w:t xml:space="preserve"> – What practical recommendations can be made to guide regulatory agencies in developing both short- and long-term action plans to address this potential animal health crisis?</w:t>
      </w:r>
    </w:p>
    <w:p w14:paraId="67D04567" w14:textId="303D4E43" w:rsidR="00A3553A" w:rsidRDefault="00A3553A" w:rsidP="00CC7693">
      <w:pPr>
        <w:pStyle w:val="ListParagraph"/>
      </w:pPr>
    </w:p>
    <w:p w14:paraId="63674BBA" w14:textId="694FDFBA" w:rsidR="00CC7693" w:rsidRDefault="00CC7693" w:rsidP="00CC7693"/>
    <w:p w14:paraId="3846C95F" w14:textId="0EA82372" w:rsidR="005D6167" w:rsidRDefault="005D6167" w:rsidP="00CC7693"/>
    <w:p w14:paraId="63648F66" w14:textId="77777777" w:rsidR="005D6167" w:rsidRDefault="005D6167" w:rsidP="00CC7693"/>
    <w:p w14:paraId="39FD918C" w14:textId="77777777" w:rsidR="00CC7693" w:rsidRDefault="00CC7693" w:rsidP="00CC7693">
      <w:pPr>
        <w:pStyle w:val="ListParagraph"/>
      </w:pPr>
    </w:p>
    <w:p w14:paraId="36F65719" w14:textId="2378278F" w:rsidR="009C6283" w:rsidRDefault="009C6283" w:rsidP="00A3553A"/>
    <w:sectPr w:rsidR="009C6283"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altName w:val="Univers"/>
    <w:charset w:val="00"/>
    <w:family w:val="swiss"/>
    <w:pitch w:val="variable"/>
    <w:sig w:usb0="80000287" w:usb1="00000000" w:usb2="00000000" w:usb3="00000000" w:csb0="0000000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A6776"/>
    <w:multiLevelType w:val="hybridMultilevel"/>
    <w:tmpl w:val="90A467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2FCA0BE0"/>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6B65267"/>
    <w:multiLevelType w:val="hybridMultilevel"/>
    <w:tmpl w:val="F3441E3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3423AC"/>
    <w:multiLevelType w:val="hybridMultilevel"/>
    <w:tmpl w:val="43626186"/>
    <w:lvl w:ilvl="0" w:tplc="BBA2ABA8">
      <w:start w:val="1"/>
      <w:numFmt w:val="upperLetter"/>
      <w:lvlText w:val="%1)"/>
      <w:lvlJc w:val="left"/>
      <w:pPr>
        <w:ind w:left="720" w:hanging="360"/>
      </w:pPr>
      <w:rPr>
        <w:rFonts w:ascii="Univers" w:eastAsia="Times New Roman" w:hAnsi="Univers"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F2D7D99"/>
    <w:multiLevelType w:val="multilevel"/>
    <w:tmpl w:val="FFFFFFFF"/>
    <w:lvl w:ilvl="0">
      <w:start w:val="1"/>
      <w:numFmt w:val="upperLetter"/>
      <w:lvlText w:val="%1)"/>
      <w:lvlJc w:val="left"/>
      <w:pPr>
        <w:ind w:left="720" w:hanging="360"/>
      </w:pPr>
      <w:rPr>
        <w:rFonts w:ascii="Open Sans" w:eastAsia="Open Sans" w:hAnsi="Open Sans" w:cs="Open San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18530072">
    <w:abstractNumId w:val="1"/>
  </w:num>
  <w:num w:numId="2" w16cid:durableId="867641417">
    <w:abstractNumId w:val="1"/>
  </w:num>
  <w:num w:numId="3" w16cid:durableId="2050103238">
    <w:abstractNumId w:val="3"/>
  </w:num>
  <w:num w:numId="4" w16cid:durableId="14381063">
    <w:abstractNumId w:val="0"/>
  </w:num>
  <w:num w:numId="5" w16cid:durableId="1938050656">
    <w:abstractNumId w:val="4"/>
  </w:num>
  <w:num w:numId="6" w16cid:durableId="152449359">
    <w:abstractNumId w:val="2"/>
  </w:num>
  <w:num w:numId="7" w16cid:durableId="7359809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4484A"/>
    <w:rsid w:val="00046AB8"/>
    <w:rsid w:val="00072A07"/>
    <w:rsid w:val="0016301A"/>
    <w:rsid w:val="001E313B"/>
    <w:rsid w:val="00243D8A"/>
    <w:rsid w:val="002647A2"/>
    <w:rsid w:val="00340797"/>
    <w:rsid w:val="00346135"/>
    <w:rsid w:val="004B68B6"/>
    <w:rsid w:val="00503190"/>
    <w:rsid w:val="00516870"/>
    <w:rsid w:val="005324C1"/>
    <w:rsid w:val="005D6167"/>
    <w:rsid w:val="00612AE4"/>
    <w:rsid w:val="00655965"/>
    <w:rsid w:val="007A30E0"/>
    <w:rsid w:val="008130C6"/>
    <w:rsid w:val="008356A6"/>
    <w:rsid w:val="00841244"/>
    <w:rsid w:val="008715DB"/>
    <w:rsid w:val="008C3A61"/>
    <w:rsid w:val="008C43F5"/>
    <w:rsid w:val="00917B4C"/>
    <w:rsid w:val="00945CED"/>
    <w:rsid w:val="0095554B"/>
    <w:rsid w:val="00960C8C"/>
    <w:rsid w:val="0099068B"/>
    <w:rsid w:val="009A10CD"/>
    <w:rsid w:val="009C6283"/>
    <w:rsid w:val="00A3553A"/>
    <w:rsid w:val="00A97BCD"/>
    <w:rsid w:val="00AB4214"/>
    <w:rsid w:val="00B20F1F"/>
    <w:rsid w:val="00C11735"/>
    <w:rsid w:val="00CB5103"/>
    <w:rsid w:val="00CC4CD9"/>
    <w:rsid w:val="00CC7693"/>
    <w:rsid w:val="00CF5682"/>
    <w:rsid w:val="00D95C8B"/>
    <w:rsid w:val="00DB76FE"/>
    <w:rsid w:val="00DF67C3"/>
    <w:rsid w:val="00F0712A"/>
    <w:rsid w:val="00F53073"/>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6283"/>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character" w:customStyle="1" w:styleId="normaltextrun">
    <w:name w:val="normaltextrun"/>
    <w:basedOn w:val="DefaultParagraphFont"/>
    <w:rsid w:val="000448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924085">
      <w:bodyDiv w:val="1"/>
      <w:marLeft w:val="0"/>
      <w:marRight w:val="0"/>
      <w:marTop w:val="0"/>
      <w:marBottom w:val="0"/>
      <w:divBdr>
        <w:top w:val="none" w:sz="0" w:space="0" w:color="auto"/>
        <w:left w:val="none" w:sz="0" w:space="0" w:color="auto"/>
        <w:bottom w:val="none" w:sz="0" w:space="0" w:color="auto"/>
        <w:right w:val="none" w:sz="0" w:space="0" w:color="auto"/>
      </w:divBdr>
    </w:div>
    <w:div w:id="1073743023">
      <w:bodyDiv w:val="1"/>
      <w:marLeft w:val="0"/>
      <w:marRight w:val="0"/>
      <w:marTop w:val="0"/>
      <w:marBottom w:val="0"/>
      <w:divBdr>
        <w:top w:val="none" w:sz="0" w:space="0" w:color="auto"/>
        <w:left w:val="none" w:sz="0" w:space="0" w:color="auto"/>
        <w:bottom w:val="none" w:sz="0" w:space="0" w:color="auto"/>
        <w:right w:val="none" w:sz="0" w:space="0" w:color="auto"/>
      </w:divBdr>
    </w:div>
    <w:div w:id="1793091997">
      <w:bodyDiv w:val="1"/>
      <w:marLeft w:val="0"/>
      <w:marRight w:val="0"/>
      <w:marTop w:val="0"/>
      <w:marBottom w:val="0"/>
      <w:divBdr>
        <w:top w:val="none" w:sz="0" w:space="0" w:color="auto"/>
        <w:left w:val="none" w:sz="0" w:space="0" w:color="auto"/>
        <w:bottom w:val="none" w:sz="0" w:space="0" w:color="auto"/>
        <w:right w:val="none" w:sz="0" w:space="0" w:color="auto"/>
      </w:divBdr>
    </w:div>
    <w:div w:id="1801611195">
      <w:bodyDiv w:val="1"/>
      <w:marLeft w:val="0"/>
      <w:marRight w:val="0"/>
      <w:marTop w:val="0"/>
      <w:marBottom w:val="0"/>
      <w:divBdr>
        <w:top w:val="none" w:sz="0" w:space="0" w:color="auto"/>
        <w:left w:val="none" w:sz="0" w:space="0" w:color="auto"/>
        <w:bottom w:val="none" w:sz="0" w:space="0" w:color="auto"/>
        <w:right w:val="none" w:sz="0" w:space="0" w:color="auto"/>
      </w:divBdr>
    </w:div>
    <w:div w:id="2040812934">
      <w:bodyDiv w:val="1"/>
      <w:marLeft w:val="0"/>
      <w:marRight w:val="0"/>
      <w:marTop w:val="0"/>
      <w:marBottom w:val="0"/>
      <w:divBdr>
        <w:top w:val="none" w:sz="0" w:space="0" w:color="auto"/>
        <w:left w:val="none" w:sz="0" w:space="0" w:color="auto"/>
        <w:bottom w:val="none" w:sz="0" w:space="0" w:color="auto"/>
        <w:right w:val="none" w:sz="0" w:space="0" w:color="auto"/>
      </w:divBdr>
    </w:div>
    <w:div w:id="2048724845">
      <w:bodyDiv w:val="1"/>
      <w:marLeft w:val="0"/>
      <w:marRight w:val="0"/>
      <w:marTop w:val="0"/>
      <w:marBottom w:val="0"/>
      <w:divBdr>
        <w:top w:val="none" w:sz="0" w:space="0" w:color="auto"/>
        <w:left w:val="none" w:sz="0" w:space="0" w:color="auto"/>
        <w:bottom w:val="none" w:sz="0" w:space="0" w:color="auto"/>
        <w:right w:val="none" w:sz="0" w:space="0" w:color="auto"/>
      </w:divBdr>
    </w:div>
    <w:div w:id="209481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phis.usda.gov/livestock-poultry-disease/equine/arbovirus-dashboar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2279</Words>
  <Characters>13244</Characters>
  <Application>Microsoft Office Word</Application>
  <DocSecurity>0</DocSecurity>
  <Lines>228</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Thomas "TR" Lansford, DVM</cp:lastModifiedBy>
  <cp:revision>3</cp:revision>
  <dcterms:created xsi:type="dcterms:W3CDTF">2025-11-05T00:49:00Z</dcterms:created>
  <dcterms:modified xsi:type="dcterms:W3CDTF">2025-11-05T00:50:00Z</dcterms:modified>
</cp:coreProperties>
</file>