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D2A921" w14:textId="19C49E10" w:rsidR="008356A6" w:rsidRDefault="00072A07" w:rsidP="00072A07">
      <w:pPr>
        <w:pStyle w:val="Heading1"/>
      </w:pPr>
      <w:r>
        <w:t xml:space="preserve">COMMITTEE ON </w:t>
      </w:r>
      <w:r w:rsidR="00B52222">
        <w:t>animal WelFare</w:t>
      </w:r>
    </w:p>
    <w:p w14:paraId="082CFC8C" w14:textId="424B4689" w:rsidR="00072A07" w:rsidRDefault="00072A07" w:rsidP="00072A07">
      <w:pPr>
        <w:jc w:val="center"/>
      </w:pPr>
      <w:r>
        <w:t>Chair:</w:t>
      </w:r>
      <w:r w:rsidR="00B52222">
        <w:t xml:space="preserve"> Dr. Liz Cox</w:t>
      </w:r>
    </w:p>
    <w:p w14:paraId="0AAF48FD" w14:textId="3C478FDB" w:rsidR="00072A07" w:rsidRDefault="00072A07" w:rsidP="00072A07">
      <w:pPr>
        <w:jc w:val="center"/>
      </w:pPr>
      <w:r>
        <w:t>Vice Chair:</w:t>
      </w:r>
      <w:r w:rsidR="00B52222">
        <w:t xml:space="preserve"> Dr. Ben Wileman</w:t>
      </w:r>
    </w:p>
    <w:p w14:paraId="334840E6" w14:textId="77777777" w:rsidR="00072A07" w:rsidRDefault="00072A07" w:rsidP="00072A07">
      <w:pPr>
        <w:jc w:val="center"/>
      </w:pPr>
    </w:p>
    <w:p w14:paraId="5BABA89B" w14:textId="3ECCA285" w:rsidR="00072A07" w:rsidRDefault="00072A07" w:rsidP="00072A07">
      <w:pPr>
        <w:jc w:val="center"/>
      </w:pPr>
      <w:r>
        <w:t>[USAHA Staff will enter your committee roster]</w:t>
      </w:r>
    </w:p>
    <w:p w14:paraId="1BABDEF5" w14:textId="77777777" w:rsidR="0095554B" w:rsidRDefault="0095554B" w:rsidP="00072A07">
      <w:pPr>
        <w:jc w:val="center"/>
      </w:pPr>
    </w:p>
    <w:p w14:paraId="07CD87DD" w14:textId="04AD4983" w:rsidR="0095554B" w:rsidRDefault="0095554B" w:rsidP="0095554B">
      <w:pPr>
        <w:ind w:firstLine="360"/>
      </w:pPr>
      <w:r>
        <w:t xml:space="preserve">The Committee met during the </w:t>
      </w:r>
      <w:r w:rsidR="00B52222">
        <w:t>2024</w:t>
      </w:r>
      <w:r>
        <w:t xml:space="preserve"> Annual Meeting in </w:t>
      </w:r>
      <w:r w:rsidR="00B52222">
        <w:t>Nashville, TN</w:t>
      </w:r>
      <w:r>
        <w:t xml:space="preserve"> on October </w:t>
      </w:r>
      <w:r w:rsidR="00B52222">
        <w:t>15</w:t>
      </w:r>
      <w:r>
        <w:t>. There were [X] members and [X] guests in attendance</w:t>
      </w:r>
      <w:r w:rsidR="00AD5D84">
        <w:t>.</w:t>
      </w:r>
    </w:p>
    <w:p w14:paraId="22AF8967" w14:textId="5429A749" w:rsidR="0095554B" w:rsidRDefault="0095554B" w:rsidP="00C559E3">
      <w:r>
        <w:t xml:space="preserve"> </w:t>
      </w:r>
    </w:p>
    <w:p w14:paraId="288027D8" w14:textId="77777777" w:rsidR="0095554B" w:rsidRDefault="0095554B" w:rsidP="0095554B">
      <w:pPr>
        <w:ind w:firstLine="360"/>
      </w:pPr>
    </w:p>
    <w:p w14:paraId="2EE4518D" w14:textId="30BC65D2" w:rsidR="0095554B" w:rsidRDefault="0095554B" w:rsidP="0095554B">
      <w:r>
        <w:rPr>
          <w:b/>
          <w:bCs/>
        </w:rPr>
        <w:t xml:space="preserve">Presentations &amp; Reports </w:t>
      </w:r>
    </w:p>
    <w:p w14:paraId="416416B9" w14:textId="77777777" w:rsidR="00B52222" w:rsidRDefault="00B52222" w:rsidP="0095554B"/>
    <w:tbl>
      <w:tblPr>
        <w:tblW w:w="9350" w:type="dxa"/>
        <w:tblCellMar>
          <w:left w:w="0" w:type="dxa"/>
          <w:right w:w="0" w:type="dxa"/>
        </w:tblCellMar>
        <w:tblLook w:val="04A0" w:firstRow="1" w:lastRow="0" w:firstColumn="1" w:lastColumn="0" w:noHBand="0" w:noVBand="1"/>
      </w:tblPr>
      <w:tblGrid>
        <w:gridCol w:w="1299"/>
        <w:gridCol w:w="5351"/>
        <w:gridCol w:w="2700"/>
      </w:tblGrid>
      <w:tr w:rsidR="00B52222" w:rsidRPr="00B52222" w14:paraId="7A18BBEF" w14:textId="77777777" w:rsidTr="00B52222">
        <w:trPr>
          <w:trHeight w:val="568"/>
        </w:trPr>
        <w:tc>
          <w:tcPr>
            <w:tcW w:w="1299" w:type="dxa"/>
            <w:tcBorders>
              <w:top w:val="single" w:sz="8" w:space="0" w:color="FFFFFF"/>
              <w:left w:val="single" w:sz="8" w:space="0" w:color="FFFFFF"/>
              <w:bottom w:val="single" w:sz="24" w:space="0" w:color="FFFFFF"/>
              <w:right w:val="single" w:sz="8" w:space="0" w:color="FFFFFF"/>
            </w:tcBorders>
            <w:shd w:val="clear" w:color="auto" w:fill="4A66AC"/>
            <w:tcMar>
              <w:top w:w="15" w:type="dxa"/>
              <w:left w:w="108" w:type="dxa"/>
              <w:bottom w:w="0" w:type="dxa"/>
              <w:right w:w="108" w:type="dxa"/>
            </w:tcMar>
            <w:hideMark/>
          </w:tcPr>
          <w:p w14:paraId="685A0DAB" w14:textId="77777777" w:rsidR="00B52222" w:rsidRPr="00B52222" w:rsidRDefault="00B52222" w:rsidP="00B52222">
            <w:pPr>
              <w:rPr>
                <w:rFonts w:eastAsia="Times New Roman" w:cs="Arial"/>
                <w:kern w:val="0"/>
                <w:sz w:val="24"/>
                <w:szCs w:val="24"/>
                <w14:ligatures w14:val="none"/>
              </w:rPr>
            </w:pPr>
            <w:r w:rsidRPr="00B52222">
              <w:rPr>
                <w:rFonts w:eastAsia="Calibri"/>
                <w:b/>
                <w:bCs/>
                <w:color w:val="FFFFFF" w:themeColor="light1"/>
                <w:kern w:val="24"/>
                <w:sz w:val="24"/>
                <w:szCs w:val="24"/>
                <w14:ligatures w14:val="none"/>
              </w:rPr>
              <w:t>Time</w:t>
            </w:r>
          </w:p>
        </w:tc>
        <w:tc>
          <w:tcPr>
            <w:tcW w:w="5351" w:type="dxa"/>
            <w:tcBorders>
              <w:top w:val="single" w:sz="8" w:space="0" w:color="FFFFFF"/>
              <w:left w:val="single" w:sz="8" w:space="0" w:color="FFFFFF"/>
              <w:bottom w:val="single" w:sz="24" w:space="0" w:color="FFFFFF"/>
              <w:right w:val="single" w:sz="8" w:space="0" w:color="FFFFFF"/>
            </w:tcBorders>
            <w:shd w:val="clear" w:color="auto" w:fill="4A66AC"/>
            <w:tcMar>
              <w:top w:w="15" w:type="dxa"/>
              <w:left w:w="108" w:type="dxa"/>
              <w:bottom w:w="0" w:type="dxa"/>
              <w:right w:w="108" w:type="dxa"/>
            </w:tcMar>
            <w:hideMark/>
          </w:tcPr>
          <w:p w14:paraId="61CB4218" w14:textId="77777777" w:rsidR="00B52222" w:rsidRPr="00B52222" w:rsidRDefault="00B52222" w:rsidP="00B52222">
            <w:pPr>
              <w:rPr>
                <w:rFonts w:eastAsia="Times New Roman" w:cs="Arial"/>
                <w:kern w:val="0"/>
                <w:sz w:val="24"/>
                <w:szCs w:val="24"/>
                <w14:ligatures w14:val="none"/>
              </w:rPr>
            </w:pPr>
            <w:r w:rsidRPr="00B52222">
              <w:rPr>
                <w:rFonts w:eastAsia="Times New Roman" w:cs="Arial"/>
                <w:b/>
                <w:bCs/>
                <w:color w:val="FFFFFF" w:themeColor="light1"/>
                <w:kern w:val="24"/>
                <w:sz w:val="24"/>
                <w:szCs w:val="24"/>
                <w14:ligatures w14:val="none"/>
              </w:rPr>
              <w:t>Topic/Title</w:t>
            </w:r>
          </w:p>
        </w:tc>
        <w:tc>
          <w:tcPr>
            <w:tcW w:w="2700" w:type="dxa"/>
            <w:tcBorders>
              <w:top w:val="single" w:sz="8" w:space="0" w:color="FFFFFF"/>
              <w:left w:val="single" w:sz="8" w:space="0" w:color="FFFFFF"/>
              <w:bottom w:val="single" w:sz="24" w:space="0" w:color="FFFFFF"/>
              <w:right w:val="single" w:sz="8" w:space="0" w:color="FFFFFF"/>
            </w:tcBorders>
            <w:shd w:val="clear" w:color="auto" w:fill="4A66AC"/>
            <w:tcMar>
              <w:top w:w="15" w:type="dxa"/>
              <w:left w:w="108" w:type="dxa"/>
              <w:bottom w:w="0" w:type="dxa"/>
              <w:right w:w="108" w:type="dxa"/>
            </w:tcMar>
            <w:hideMark/>
          </w:tcPr>
          <w:p w14:paraId="4DB37EEA" w14:textId="77777777" w:rsidR="00B52222" w:rsidRPr="00B52222" w:rsidRDefault="00B52222" w:rsidP="00B52222">
            <w:pPr>
              <w:rPr>
                <w:rFonts w:eastAsia="Times New Roman" w:cs="Arial"/>
                <w:kern w:val="0"/>
                <w:sz w:val="24"/>
                <w:szCs w:val="24"/>
                <w14:ligatures w14:val="none"/>
              </w:rPr>
            </w:pPr>
            <w:r w:rsidRPr="00B52222">
              <w:rPr>
                <w:rFonts w:eastAsia="Times New Roman" w:cs="Arial"/>
                <w:b/>
                <w:bCs/>
                <w:color w:val="FFFFFF" w:themeColor="light1"/>
                <w:kern w:val="24"/>
                <w:sz w:val="24"/>
                <w:szCs w:val="24"/>
                <w14:ligatures w14:val="none"/>
              </w:rPr>
              <w:t>Presenter(s)</w:t>
            </w:r>
          </w:p>
        </w:tc>
      </w:tr>
      <w:tr w:rsidR="00B52222" w:rsidRPr="00B52222" w14:paraId="4ECD5540" w14:textId="77777777" w:rsidTr="00B52222">
        <w:trPr>
          <w:trHeight w:val="591"/>
        </w:trPr>
        <w:tc>
          <w:tcPr>
            <w:tcW w:w="1299" w:type="dxa"/>
            <w:tcBorders>
              <w:top w:val="single" w:sz="24" w:space="0" w:color="FFFFFF"/>
              <w:left w:val="single" w:sz="8" w:space="0" w:color="FFFFFF"/>
              <w:bottom w:val="single" w:sz="8" w:space="0" w:color="FFFFFF"/>
              <w:right w:val="single" w:sz="8" w:space="0" w:color="FFFFFF"/>
            </w:tcBorders>
            <w:shd w:val="clear" w:color="auto" w:fill="4A66AC"/>
            <w:tcMar>
              <w:top w:w="15" w:type="dxa"/>
              <w:left w:w="108" w:type="dxa"/>
              <w:bottom w:w="0" w:type="dxa"/>
              <w:right w:w="108" w:type="dxa"/>
            </w:tcMar>
            <w:hideMark/>
          </w:tcPr>
          <w:p w14:paraId="21EEB35E" w14:textId="77777777" w:rsidR="00B52222" w:rsidRPr="00B52222" w:rsidRDefault="00B52222" w:rsidP="00B52222">
            <w:pPr>
              <w:rPr>
                <w:rFonts w:eastAsia="Times New Roman" w:cs="Arial"/>
                <w:kern w:val="0"/>
                <w:sz w:val="24"/>
                <w:szCs w:val="24"/>
                <w14:ligatures w14:val="none"/>
              </w:rPr>
            </w:pPr>
            <w:r w:rsidRPr="00B52222">
              <w:rPr>
                <w:rFonts w:eastAsia="Calibri"/>
                <w:b/>
                <w:bCs/>
                <w:color w:val="FFFFFF" w:themeColor="light1"/>
                <w:kern w:val="24"/>
                <w:sz w:val="24"/>
                <w:szCs w:val="24"/>
                <w14:ligatures w14:val="none"/>
              </w:rPr>
              <w:t>3:15-3:50</w:t>
            </w:r>
          </w:p>
        </w:tc>
        <w:tc>
          <w:tcPr>
            <w:tcW w:w="5351" w:type="dxa"/>
            <w:tcBorders>
              <w:top w:val="single" w:sz="24" w:space="0" w:color="FFFFFF"/>
              <w:left w:val="single" w:sz="8" w:space="0" w:color="FFFFFF"/>
              <w:bottom w:val="single" w:sz="8" w:space="0" w:color="FFFFFF"/>
              <w:right w:val="single" w:sz="8" w:space="0" w:color="FFFFFF"/>
            </w:tcBorders>
            <w:shd w:val="clear" w:color="auto" w:fill="D0D3E3"/>
            <w:tcMar>
              <w:top w:w="15" w:type="dxa"/>
              <w:left w:w="108" w:type="dxa"/>
              <w:bottom w:w="0" w:type="dxa"/>
              <w:right w:w="108" w:type="dxa"/>
            </w:tcMar>
            <w:hideMark/>
          </w:tcPr>
          <w:p w14:paraId="5D63D438" w14:textId="1F7FC145" w:rsidR="00B52222" w:rsidRPr="00B52222" w:rsidRDefault="00E31942" w:rsidP="00B52222">
            <w:pPr>
              <w:rPr>
                <w:rFonts w:eastAsia="Times New Roman" w:cs="Arial"/>
                <w:kern w:val="0"/>
                <w:sz w:val="24"/>
                <w:szCs w:val="24"/>
                <w14:ligatures w14:val="none"/>
              </w:rPr>
            </w:pPr>
            <w:r>
              <w:rPr>
                <w:rFonts w:eastAsia="Times New Roman" w:cs="Arial"/>
                <w:kern w:val="0"/>
                <w:sz w:val="24"/>
                <w:szCs w:val="24"/>
                <w14:ligatures w14:val="none"/>
              </w:rPr>
              <w:t>On-</w:t>
            </w:r>
            <w:r w:rsidR="009C35EF">
              <w:rPr>
                <w:rFonts w:eastAsia="Times New Roman" w:cs="Arial"/>
                <w:kern w:val="0"/>
                <w:sz w:val="24"/>
                <w:szCs w:val="24"/>
                <w14:ligatures w14:val="none"/>
              </w:rPr>
              <w:t>F</w:t>
            </w:r>
            <w:r>
              <w:rPr>
                <w:rFonts w:eastAsia="Times New Roman" w:cs="Arial"/>
                <w:kern w:val="0"/>
                <w:sz w:val="24"/>
                <w:szCs w:val="24"/>
                <w14:ligatures w14:val="none"/>
              </w:rPr>
              <w:t xml:space="preserve">arm </w:t>
            </w:r>
            <w:r w:rsidR="009C35EF">
              <w:rPr>
                <w:rFonts w:eastAsia="Times New Roman" w:cs="Arial"/>
                <w:kern w:val="0"/>
                <w:sz w:val="24"/>
                <w:szCs w:val="24"/>
                <w14:ligatures w14:val="none"/>
              </w:rPr>
              <w:t>R</w:t>
            </w:r>
            <w:r>
              <w:rPr>
                <w:rFonts w:eastAsia="Times New Roman" w:cs="Arial"/>
                <w:kern w:val="0"/>
                <w:sz w:val="24"/>
                <w:szCs w:val="24"/>
                <w14:ligatures w14:val="none"/>
              </w:rPr>
              <w:t xml:space="preserve">esponse to </w:t>
            </w:r>
            <w:r w:rsidR="009C35EF">
              <w:rPr>
                <w:rFonts w:eastAsia="Times New Roman" w:cs="Arial"/>
                <w:kern w:val="0"/>
                <w:sz w:val="24"/>
                <w:szCs w:val="24"/>
                <w14:ligatures w14:val="none"/>
              </w:rPr>
              <w:t>A</w:t>
            </w:r>
            <w:r w:rsidR="00847825">
              <w:rPr>
                <w:rFonts w:eastAsia="Times New Roman" w:cs="Arial"/>
                <w:kern w:val="0"/>
                <w:sz w:val="24"/>
                <w:szCs w:val="24"/>
                <w14:ligatures w14:val="none"/>
              </w:rPr>
              <w:t xml:space="preserve">nimal </w:t>
            </w:r>
            <w:r w:rsidR="009C35EF">
              <w:rPr>
                <w:rFonts w:eastAsia="Times New Roman" w:cs="Arial"/>
                <w:kern w:val="0"/>
                <w:sz w:val="24"/>
                <w:szCs w:val="24"/>
                <w14:ligatures w14:val="none"/>
              </w:rPr>
              <w:t>D</w:t>
            </w:r>
            <w:r w:rsidR="00847825">
              <w:rPr>
                <w:rFonts w:eastAsia="Times New Roman" w:cs="Arial"/>
                <w:kern w:val="0"/>
                <w:sz w:val="24"/>
                <w:szCs w:val="24"/>
                <w14:ligatures w14:val="none"/>
              </w:rPr>
              <w:t xml:space="preserve">isease </w:t>
            </w:r>
            <w:r w:rsidR="009C35EF">
              <w:rPr>
                <w:rFonts w:eastAsia="Times New Roman" w:cs="Arial"/>
                <w:kern w:val="0"/>
                <w:sz w:val="24"/>
                <w:szCs w:val="24"/>
                <w14:ligatures w14:val="none"/>
              </w:rPr>
              <w:t>I</w:t>
            </w:r>
            <w:r w:rsidR="00847825">
              <w:rPr>
                <w:rFonts w:eastAsia="Times New Roman" w:cs="Arial"/>
                <w:kern w:val="0"/>
                <w:sz w:val="24"/>
                <w:szCs w:val="24"/>
                <w14:ligatures w14:val="none"/>
              </w:rPr>
              <w:t xml:space="preserve">ncident </w:t>
            </w:r>
          </w:p>
        </w:tc>
        <w:tc>
          <w:tcPr>
            <w:tcW w:w="2700" w:type="dxa"/>
            <w:tcBorders>
              <w:top w:val="single" w:sz="24" w:space="0" w:color="FFFFFF"/>
              <w:left w:val="single" w:sz="8" w:space="0" w:color="FFFFFF"/>
              <w:bottom w:val="single" w:sz="8" w:space="0" w:color="FFFFFF"/>
              <w:right w:val="single" w:sz="8" w:space="0" w:color="FFFFFF"/>
            </w:tcBorders>
            <w:shd w:val="clear" w:color="auto" w:fill="D0D3E3"/>
            <w:tcMar>
              <w:top w:w="15" w:type="dxa"/>
              <w:left w:w="108" w:type="dxa"/>
              <w:bottom w:w="0" w:type="dxa"/>
              <w:right w:w="108" w:type="dxa"/>
            </w:tcMar>
            <w:hideMark/>
          </w:tcPr>
          <w:p w14:paraId="59D15597" w14:textId="77777777" w:rsidR="00B52222" w:rsidRPr="00B52222" w:rsidRDefault="00B52222" w:rsidP="00B52222">
            <w:pPr>
              <w:rPr>
                <w:rFonts w:eastAsia="Times New Roman" w:cs="Arial"/>
                <w:kern w:val="0"/>
                <w:sz w:val="24"/>
                <w:szCs w:val="24"/>
                <w14:ligatures w14:val="none"/>
              </w:rPr>
            </w:pPr>
            <w:r w:rsidRPr="00B52222">
              <w:rPr>
                <w:rFonts w:eastAsia="Times New Roman" w:cs="Arial"/>
                <w:color w:val="000000" w:themeColor="dark1"/>
                <w:kern w:val="24"/>
                <w:sz w:val="24"/>
                <w:szCs w:val="24"/>
                <w14:ligatures w14:val="none"/>
              </w:rPr>
              <w:t>Dan Hougentogler, AES Inc.</w:t>
            </w:r>
          </w:p>
        </w:tc>
      </w:tr>
      <w:tr w:rsidR="00B52222" w:rsidRPr="00B52222" w14:paraId="5B186F48" w14:textId="77777777" w:rsidTr="00B52222">
        <w:trPr>
          <w:trHeight w:val="865"/>
        </w:trPr>
        <w:tc>
          <w:tcPr>
            <w:tcW w:w="1299" w:type="dxa"/>
            <w:tcBorders>
              <w:top w:val="single" w:sz="8" w:space="0" w:color="FFFFFF"/>
              <w:left w:val="single" w:sz="8" w:space="0" w:color="FFFFFF"/>
              <w:bottom w:val="single" w:sz="8" w:space="0" w:color="FFFFFF"/>
              <w:right w:val="single" w:sz="8" w:space="0" w:color="FFFFFF"/>
            </w:tcBorders>
            <w:shd w:val="clear" w:color="auto" w:fill="4A66AC"/>
            <w:tcMar>
              <w:top w:w="15" w:type="dxa"/>
              <w:left w:w="108" w:type="dxa"/>
              <w:bottom w:w="0" w:type="dxa"/>
              <w:right w:w="108" w:type="dxa"/>
            </w:tcMar>
            <w:hideMark/>
          </w:tcPr>
          <w:p w14:paraId="364C5875" w14:textId="77777777" w:rsidR="00B52222" w:rsidRPr="00B52222" w:rsidRDefault="00B52222" w:rsidP="00B52222">
            <w:pPr>
              <w:rPr>
                <w:rFonts w:eastAsia="Times New Roman" w:cs="Arial"/>
                <w:kern w:val="0"/>
                <w:sz w:val="24"/>
                <w:szCs w:val="24"/>
                <w14:ligatures w14:val="none"/>
              </w:rPr>
            </w:pPr>
            <w:r w:rsidRPr="00B52222">
              <w:rPr>
                <w:rFonts w:eastAsia="Calibri"/>
                <w:b/>
                <w:bCs/>
                <w:color w:val="FFFFFF" w:themeColor="light1"/>
                <w:kern w:val="24"/>
                <w:sz w:val="24"/>
                <w:szCs w:val="24"/>
                <w14:ligatures w14:val="none"/>
              </w:rPr>
              <w:t>3:50-4:25</w:t>
            </w:r>
          </w:p>
        </w:tc>
        <w:tc>
          <w:tcPr>
            <w:tcW w:w="5351" w:type="dxa"/>
            <w:tcBorders>
              <w:top w:val="single" w:sz="8" w:space="0" w:color="FFFFFF"/>
              <w:left w:val="single" w:sz="8" w:space="0" w:color="FFFFFF"/>
              <w:bottom w:val="single" w:sz="8" w:space="0" w:color="FFFFFF"/>
              <w:right w:val="single" w:sz="8" w:space="0" w:color="FFFFFF"/>
            </w:tcBorders>
            <w:shd w:val="clear" w:color="auto" w:fill="E9EAF1"/>
            <w:tcMar>
              <w:top w:w="15" w:type="dxa"/>
              <w:left w:w="108" w:type="dxa"/>
              <w:bottom w:w="0" w:type="dxa"/>
              <w:right w:w="108" w:type="dxa"/>
            </w:tcMar>
            <w:hideMark/>
          </w:tcPr>
          <w:p w14:paraId="29EA6309" w14:textId="67E18FF6" w:rsidR="00B52222" w:rsidRPr="00B52222" w:rsidRDefault="00847825" w:rsidP="00B52222">
            <w:pPr>
              <w:rPr>
                <w:rFonts w:eastAsia="Times New Roman" w:cs="Arial"/>
                <w:kern w:val="0"/>
                <w:sz w:val="24"/>
                <w:szCs w:val="24"/>
                <w14:ligatures w14:val="none"/>
              </w:rPr>
            </w:pPr>
            <w:r>
              <w:rPr>
                <w:rFonts w:eastAsia="Calibri"/>
                <w:color w:val="000000" w:themeColor="dark1"/>
                <w:kern w:val="24"/>
                <w:sz w:val="24"/>
                <w:szCs w:val="24"/>
                <w14:ligatures w14:val="none"/>
              </w:rPr>
              <w:t xml:space="preserve">Research </w:t>
            </w:r>
            <w:r w:rsidR="00D76315">
              <w:rPr>
                <w:rFonts w:eastAsia="Calibri"/>
                <w:color w:val="000000" w:themeColor="dark1"/>
                <w:kern w:val="24"/>
                <w:sz w:val="24"/>
                <w:szCs w:val="24"/>
                <w14:ligatures w14:val="none"/>
              </w:rPr>
              <w:t>p</w:t>
            </w:r>
            <w:r>
              <w:rPr>
                <w:rFonts w:eastAsia="Calibri"/>
                <w:color w:val="000000" w:themeColor="dark1"/>
                <w:kern w:val="24"/>
                <w:sz w:val="24"/>
                <w:szCs w:val="24"/>
                <w14:ligatures w14:val="none"/>
              </w:rPr>
              <w:t xml:space="preserve">resented for </w:t>
            </w:r>
            <w:r w:rsidR="009C35EF">
              <w:rPr>
                <w:rFonts w:eastAsia="Calibri"/>
                <w:color w:val="000000" w:themeColor="dark1"/>
                <w:kern w:val="24"/>
                <w:sz w:val="24"/>
                <w:szCs w:val="24"/>
                <w14:ligatures w14:val="none"/>
              </w:rPr>
              <w:t>O</w:t>
            </w:r>
            <w:r>
              <w:rPr>
                <w:rFonts w:eastAsia="Calibri"/>
                <w:color w:val="000000" w:themeColor="dark1"/>
                <w:kern w:val="24"/>
                <w:sz w:val="24"/>
                <w:szCs w:val="24"/>
                <w14:ligatures w14:val="none"/>
              </w:rPr>
              <w:t>n-</w:t>
            </w:r>
            <w:r w:rsidR="009C35EF">
              <w:rPr>
                <w:rFonts w:eastAsia="Calibri"/>
                <w:color w:val="000000" w:themeColor="dark1"/>
                <w:kern w:val="24"/>
                <w:sz w:val="24"/>
                <w:szCs w:val="24"/>
                <w14:ligatures w14:val="none"/>
              </w:rPr>
              <w:t>F</w:t>
            </w:r>
            <w:r>
              <w:rPr>
                <w:rFonts w:eastAsia="Calibri"/>
                <w:color w:val="000000" w:themeColor="dark1"/>
                <w:kern w:val="24"/>
                <w:sz w:val="24"/>
                <w:szCs w:val="24"/>
                <w14:ligatures w14:val="none"/>
              </w:rPr>
              <w:t xml:space="preserve">arm </w:t>
            </w:r>
            <w:r w:rsidR="009C35EF">
              <w:rPr>
                <w:rFonts w:eastAsia="Calibri"/>
                <w:color w:val="000000" w:themeColor="dark1"/>
                <w:kern w:val="24"/>
                <w:sz w:val="24"/>
                <w:szCs w:val="24"/>
                <w14:ligatures w14:val="none"/>
              </w:rPr>
              <w:t>R</w:t>
            </w:r>
            <w:r>
              <w:rPr>
                <w:rFonts w:eastAsia="Calibri"/>
                <w:color w:val="000000" w:themeColor="dark1"/>
                <w:kern w:val="24"/>
                <w:sz w:val="24"/>
                <w:szCs w:val="24"/>
                <w14:ligatures w14:val="none"/>
              </w:rPr>
              <w:t xml:space="preserve">esponse to </w:t>
            </w:r>
            <w:r w:rsidR="009C35EF">
              <w:rPr>
                <w:rFonts w:eastAsia="Calibri"/>
                <w:color w:val="000000" w:themeColor="dark1"/>
                <w:kern w:val="24"/>
                <w:sz w:val="24"/>
                <w:szCs w:val="24"/>
                <w14:ligatures w14:val="none"/>
              </w:rPr>
              <w:t xml:space="preserve">Animal Disease Incident </w:t>
            </w:r>
          </w:p>
        </w:tc>
        <w:tc>
          <w:tcPr>
            <w:tcW w:w="2700" w:type="dxa"/>
            <w:tcBorders>
              <w:top w:val="single" w:sz="8" w:space="0" w:color="FFFFFF"/>
              <w:left w:val="single" w:sz="8" w:space="0" w:color="FFFFFF"/>
              <w:bottom w:val="single" w:sz="8" w:space="0" w:color="FFFFFF"/>
              <w:right w:val="single" w:sz="8" w:space="0" w:color="FFFFFF"/>
            </w:tcBorders>
            <w:shd w:val="clear" w:color="auto" w:fill="E9EAF1"/>
            <w:tcMar>
              <w:top w:w="15" w:type="dxa"/>
              <w:left w:w="108" w:type="dxa"/>
              <w:bottom w:w="0" w:type="dxa"/>
              <w:right w:w="108" w:type="dxa"/>
            </w:tcMar>
            <w:hideMark/>
          </w:tcPr>
          <w:p w14:paraId="1FE624A4" w14:textId="77777777" w:rsidR="00B52222" w:rsidRPr="00B52222" w:rsidRDefault="00B52222" w:rsidP="00B52222">
            <w:pPr>
              <w:rPr>
                <w:rFonts w:eastAsia="Times New Roman" w:cs="Arial"/>
                <w:kern w:val="0"/>
                <w:sz w:val="24"/>
                <w:szCs w:val="24"/>
                <w14:ligatures w14:val="none"/>
              </w:rPr>
            </w:pPr>
            <w:r w:rsidRPr="00B52222">
              <w:rPr>
                <w:rFonts w:eastAsia="Calibri"/>
                <w:color w:val="000000" w:themeColor="dark1"/>
                <w:kern w:val="24"/>
                <w:sz w:val="24"/>
                <w:szCs w:val="24"/>
                <w14:ligatures w14:val="none"/>
              </w:rPr>
              <w:t>Dr. Marie Culhane, University of Minnesota</w:t>
            </w:r>
          </w:p>
        </w:tc>
      </w:tr>
      <w:tr w:rsidR="00B52222" w:rsidRPr="00B52222" w14:paraId="023C6CC3" w14:textId="77777777" w:rsidTr="00B52222">
        <w:trPr>
          <w:trHeight w:val="595"/>
        </w:trPr>
        <w:tc>
          <w:tcPr>
            <w:tcW w:w="1299" w:type="dxa"/>
            <w:tcBorders>
              <w:top w:val="single" w:sz="8" w:space="0" w:color="FFFFFF"/>
              <w:left w:val="single" w:sz="8" w:space="0" w:color="FFFFFF"/>
              <w:bottom w:val="single" w:sz="8" w:space="0" w:color="FFFFFF"/>
              <w:right w:val="single" w:sz="8" w:space="0" w:color="FFFFFF"/>
            </w:tcBorders>
            <w:shd w:val="clear" w:color="auto" w:fill="4A66AC"/>
            <w:tcMar>
              <w:top w:w="15" w:type="dxa"/>
              <w:left w:w="108" w:type="dxa"/>
              <w:bottom w:w="0" w:type="dxa"/>
              <w:right w:w="108" w:type="dxa"/>
            </w:tcMar>
            <w:hideMark/>
          </w:tcPr>
          <w:p w14:paraId="537216D7" w14:textId="77777777" w:rsidR="00B52222" w:rsidRPr="00B52222" w:rsidRDefault="00B52222" w:rsidP="00B52222">
            <w:pPr>
              <w:rPr>
                <w:rFonts w:eastAsia="Times New Roman" w:cs="Arial"/>
                <w:kern w:val="0"/>
                <w:sz w:val="24"/>
                <w:szCs w:val="24"/>
                <w14:ligatures w14:val="none"/>
              </w:rPr>
            </w:pPr>
            <w:r w:rsidRPr="00B52222">
              <w:rPr>
                <w:rFonts w:eastAsia="Calibri"/>
                <w:b/>
                <w:bCs/>
                <w:color w:val="FFFFFF" w:themeColor="light1"/>
                <w:kern w:val="24"/>
                <w:sz w:val="24"/>
                <w:szCs w:val="24"/>
                <w14:ligatures w14:val="none"/>
              </w:rPr>
              <w:t>4:25-5:00</w:t>
            </w:r>
          </w:p>
        </w:tc>
        <w:tc>
          <w:tcPr>
            <w:tcW w:w="5351" w:type="dxa"/>
            <w:tcBorders>
              <w:top w:val="single" w:sz="8" w:space="0" w:color="FFFFFF"/>
              <w:left w:val="single" w:sz="8" w:space="0" w:color="FFFFFF"/>
              <w:bottom w:val="single" w:sz="8" w:space="0" w:color="FFFFFF"/>
              <w:right w:val="single" w:sz="8" w:space="0" w:color="FFFFFF"/>
            </w:tcBorders>
            <w:shd w:val="clear" w:color="auto" w:fill="D0D3E3"/>
            <w:tcMar>
              <w:top w:w="15" w:type="dxa"/>
              <w:left w:w="108" w:type="dxa"/>
              <w:bottom w:w="0" w:type="dxa"/>
              <w:right w:w="108" w:type="dxa"/>
            </w:tcMar>
            <w:hideMark/>
          </w:tcPr>
          <w:p w14:paraId="5AE30F58" w14:textId="5C35CA2E" w:rsidR="00B52222" w:rsidRPr="00B52222" w:rsidRDefault="00B52222" w:rsidP="00B52222">
            <w:pPr>
              <w:rPr>
                <w:rFonts w:eastAsia="Times New Roman" w:cs="Arial"/>
                <w:kern w:val="0"/>
                <w:sz w:val="24"/>
                <w:szCs w:val="24"/>
                <w14:ligatures w14:val="none"/>
              </w:rPr>
            </w:pPr>
            <w:r w:rsidRPr="00B52222">
              <w:rPr>
                <w:rFonts w:eastAsia="Times New Roman" w:cs="Arial"/>
                <w:color w:val="000000" w:themeColor="dark1"/>
                <w:kern w:val="24"/>
                <w:sz w:val="24"/>
                <w:szCs w:val="24"/>
                <w14:ligatures w14:val="none"/>
              </w:rPr>
              <w:t>Promoting Swine Welfare During Transport</w:t>
            </w:r>
            <w:r w:rsidR="009C35EF">
              <w:rPr>
                <w:rFonts w:eastAsia="Times New Roman" w:cs="Arial"/>
                <w:color w:val="000000" w:themeColor="dark1"/>
                <w:kern w:val="24"/>
                <w:sz w:val="24"/>
                <w:szCs w:val="24"/>
                <w14:ligatures w14:val="none"/>
              </w:rPr>
              <w:t>ation</w:t>
            </w:r>
          </w:p>
        </w:tc>
        <w:tc>
          <w:tcPr>
            <w:tcW w:w="2700" w:type="dxa"/>
            <w:tcBorders>
              <w:top w:val="single" w:sz="8" w:space="0" w:color="FFFFFF"/>
              <w:left w:val="single" w:sz="8" w:space="0" w:color="FFFFFF"/>
              <w:bottom w:val="single" w:sz="8" w:space="0" w:color="FFFFFF"/>
              <w:right w:val="single" w:sz="8" w:space="0" w:color="FFFFFF"/>
            </w:tcBorders>
            <w:shd w:val="clear" w:color="auto" w:fill="D0D3E3"/>
            <w:tcMar>
              <w:top w:w="15" w:type="dxa"/>
              <w:left w:w="108" w:type="dxa"/>
              <w:bottom w:w="0" w:type="dxa"/>
              <w:right w:w="108" w:type="dxa"/>
            </w:tcMar>
            <w:hideMark/>
          </w:tcPr>
          <w:p w14:paraId="53D0899F" w14:textId="77777777" w:rsidR="00B52222" w:rsidRPr="00B52222" w:rsidRDefault="00B52222" w:rsidP="00B52222">
            <w:pPr>
              <w:rPr>
                <w:rFonts w:eastAsia="Times New Roman" w:cs="Arial"/>
                <w:kern w:val="0"/>
                <w:sz w:val="24"/>
                <w:szCs w:val="24"/>
                <w14:ligatures w14:val="none"/>
              </w:rPr>
            </w:pPr>
            <w:r w:rsidRPr="00B52222">
              <w:rPr>
                <w:rFonts w:eastAsia="Calibri"/>
                <w:color w:val="000000" w:themeColor="dark1"/>
                <w:kern w:val="24"/>
                <w:sz w:val="24"/>
                <w:szCs w:val="24"/>
                <w14:ligatures w14:val="none"/>
              </w:rPr>
              <w:t>Dr. Ben Blair, University of Illinois</w:t>
            </w:r>
          </w:p>
        </w:tc>
      </w:tr>
      <w:tr w:rsidR="00B52222" w:rsidRPr="00B52222" w14:paraId="547AADF0" w14:textId="77777777" w:rsidTr="00B52222">
        <w:trPr>
          <w:trHeight w:val="415"/>
        </w:trPr>
        <w:tc>
          <w:tcPr>
            <w:tcW w:w="1299" w:type="dxa"/>
            <w:tcBorders>
              <w:top w:val="single" w:sz="8" w:space="0" w:color="FFFFFF"/>
              <w:left w:val="single" w:sz="8" w:space="0" w:color="FFFFFF"/>
              <w:bottom w:val="single" w:sz="8" w:space="0" w:color="FFFFFF"/>
              <w:right w:val="single" w:sz="8" w:space="0" w:color="FFFFFF"/>
            </w:tcBorders>
            <w:shd w:val="clear" w:color="auto" w:fill="4A66AC"/>
            <w:tcMar>
              <w:top w:w="15" w:type="dxa"/>
              <w:left w:w="108" w:type="dxa"/>
              <w:bottom w:w="0" w:type="dxa"/>
              <w:right w:w="108" w:type="dxa"/>
            </w:tcMar>
            <w:vAlign w:val="center"/>
            <w:hideMark/>
          </w:tcPr>
          <w:p w14:paraId="632519B4" w14:textId="77777777" w:rsidR="00B52222" w:rsidRPr="00B52222" w:rsidRDefault="00B52222" w:rsidP="00B52222">
            <w:pPr>
              <w:jc w:val="center"/>
              <w:rPr>
                <w:rFonts w:eastAsia="Times New Roman" w:cs="Arial"/>
                <w:kern w:val="0"/>
                <w:sz w:val="24"/>
                <w:szCs w:val="24"/>
                <w14:ligatures w14:val="none"/>
              </w:rPr>
            </w:pPr>
            <w:r w:rsidRPr="00B52222">
              <w:rPr>
                <w:rFonts w:eastAsia="Calibri"/>
                <w:b/>
                <w:bCs/>
                <w:color w:val="FFFFFF" w:themeColor="light1"/>
                <w:kern w:val="24"/>
                <w:sz w:val="24"/>
                <w:szCs w:val="24"/>
                <w14:ligatures w14:val="none"/>
              </w:rPr>
              <w:t>5:00-5:15</w:t>
            </w:r>
          </w:p>
        </w:tc>
        <w:tc>
          <w:tcPr>
            <w:tcW w:w="5351" w:type="dxa"/>
            <w:tcBorders>
              <w:top w:val="single" w:sz="8" w:space="0" w:color="FFFFFF"/>
              <w:left w:val="single" w:sz="8" w:space="0" w:color="FFFFFF"/>
              <w:bottom w:val="single" w:sz="8" w:space="0" w:color="FFFFFF"/>
              <w:right w:val="single" w:sz="8" w:space="0" w:color="FFFFFF"/>
            </w:tcBorders>
            <w:shd w:val="clear" w:color="auto" w:fill="E9EAF1"/>
            <w:tcMar>
              <w:top w:w="15" w:type="dxa"/>
              <w:left w:w="108" w:type="dxa"/>
              <w:bottom w:w="0" w:type="dxa"/>
              <w:right w:w="108" w:type="dxa"/>
            </w:tcMar>
            <w:hideMark/>
          </w:tcPr>
          <w:p w14:paraId="2157F652" w14:textId="77777777" w:rsidR="00B52222" w:rsidRPr="00B52222" w:rsidRDefault="00B52222" w:rsidP="00B52222">
            <w:pPr>
              <w:rPr>
                <w:rFonts w:eastAsia="Times New Roman" w:cs="Arial"/>
                <w:kern w:val="0"/>
                <w:sz w:val="24"/>
                <w:szCs w:val="24"/>
                <w14:ligatures w14:val="none"/>
              </w:rPr>
            </w:pPr>
            <w:r w:rsidRPr="00B52222">
              <w:rPr>
                <w:rFonts w:eastAsia="Times New Roman" w:cs="Arial"/>
                <w:color w:val="000000" w:themeColor="dark1"/>
                <w:kern w:val="24"/>
                <w:sz w:val="24"/>
                <w:szCs w:val="24"/>
                <w14:ligatures w14:val="none"/>
              </w:rPr>
              <w:t>New Business</w:t>
            </w:r>
          </w:p>
        </w:tc>
        <w:tc>
          <w:tcPr>
            <w:tcW w:w="2700" w:type="dxa"/>
            <w:tcBorders>
              <w:top w:val="single" w:sz="8" w:space="0" w:color="FFFFFF"/>
              <w:left w:val="single" w:sz="8" w:space="0" w:color="FFFFFF"/>
              <w:bottom w:val="single" w:sz="8" w:space="0" w:color="FFFFFF"/>
              <w:right w:val="single" w:sz="8" w:space="0" w:color="FFFFFF"/>
            </w:tcBorders>
            <w:shd w:val="clear" w:color="auto" w:fill="E9EAF1"/>
            <w:tcMar>
              <w:top w:w="15" w:type="dxa"/>
              <w:left w:w="108" w:type="dxa"/>
              <w:bottom w:w="0" w:type="dxa"/>
              <w:right w:w="108" w:type="dxa"/>
            </w:tcMar>
            <w:hideMark/>
          </w:tcPr>
          <w:p w14:paraId="46916FCC" w14:textId="77777777" w:rsidR="00B52222" w:rsidRPr="00B52222" w:rsidRDefault="00B52222" w:rsidP="00B52222">
            <w:pPr>
              <w:rPr>
                <w:rFonts w:eastAsia="Times New Roman" w:cs="Arial"/>
                <w:kern w:val="0"/>
                <w:sz w:val="24"/>
                <w:szCs w:val="24"/>
                <w14:ligatures w14:val="none"/>
              </w:rPr>
            </w:pPr>
            <w:r w:rsidRPr="00B52222">
              <w:rPr>
                <w:rFonts w:eastAsia="Times New Roman" w:cs="Arial"/>
                <w:color w:val="000000" w:themeColor="dark1"/>
                <w:kern w:val="24"/>
                <w:sz w:val="24"/>
                <w:szCs w:val="24"/>
                <w14:ligatures w14:val="none"/>
              </w:rPr>
              <w:t xml:space="preserve">Drs. Cox/Wileman </w:t>
            </w:r>
          </w:p>
        </w:tc>
      </w:tr>
    </w:tbl>
    <w:p w14:paraId="2629173F" w14:textId="77777777" w:rsidR="00B52222" w:rsidRDefault="00B52222" w:rsidP="0095554B"/>
    <w:p w14:paraId="39353F81" w14:textId="77777777" w:rsidR="0095554B" w:rsidRDefault="0095554B" w:rsidP="0095554B"/>
    <w:p w14:paraId="76548B33" w14:textId="46531A1E" w:rsidR="0095554B" w:rsidRDefault="009C35EF" w:rsidP="0095554B">
      <w:pPr>
        <w:rPr>
          <w:b/>
          <w:bCs/>
        </w:rPr>
      </w:pPr>
      <w:r>
        <w:rPr>
          <w:b/>
          <w:bCs/>
        </w:rPr>
        <w:t xml:space="preserve">On-Farm Response to Animal Disease Incident </w:t>
      </w:r>
    </w:p>
    <w:p w14:paraId="058436B3" w14:textId="4B69BF0E" w:rsidR="00B52222" w:rsidRDefault="00B52222" w:rsidP="0095554B">
      <w:r w:rsidRPr="00B52222">
        <w:t>Dan Hougentogler, AES Inc.</w:t>
      </w:r>
      <w:r>
        <w:t xml:space="preserve">, </w:t>
      </w:r>
    </w:p>
    <w:p w14:paraId="13A43CAA" w14:textId="296F1A4A" w:rsidR="00B52222" w:rsidRDefault="003A15DF" w:rsidP="0095554B">
      <w:r>
        <w:tab/>
      </w:r>
      <w:r w:rsidR="005E4294">
        <w:t xml:space="preserve">Presented </w:t>
      </w:r>
      <w:r w:rsidR="00D941E4">
        <w:t>AES Inc. novel and proprietary method for on-farm response to a</w:t>
      </w:r>
      <w:r w:rsidR="007A2C29">
        <w:t>nimal disease incident</w:t>
      </w:r>
      <w:r w:rsidR="00E30780">
        <w:t xml:space="preserve"> or another animal emergency</w:t>
      </w:r>
      <w:r w:rsidR="007A2C29">
        <w:t xml:space="preserve">. </w:t>
      </w:r>
      <w:r w:rsidR="00E30780">
        <w:t>AES provides services for</w:t>
      </w:r>
      <w:r w:rsidR="007A2C29">
        <w:t xml:space="preserve"> rapid </w:t>
      </w:r>
      <w:proofErr w:type="gramStart"/>
      <w:r w:rsidR="00E30780">
        <w:t xml:space="preserve">a </w:t>
      </w:r>
      <w:r w:rsidR="007A2C29">
        <w:t>response</w:t>
      </w:r>
      <w:proofErr w:type="gramEnd"/>
      <w:r w:rsidR="007A2C29">
        <w:t xml:space="preserve"> </w:t>
      </w:r>
      <w:r w:rsidR="00E30780">
        <w:t xml:space="preserve">including </w:t>
      </w:r>
      <w:r w:rsidR="009B186C">
        <w:t>equipment</w:t>
      </w:r>
      <w:r w:rsidR="007A2C29">
        <w:t xml:space="preserve">, people and supplies </w:t>
      </w:r>
      <w:r w:rsidR="009B186C">
        <w:t xml:space="preserve">that can be deployed nationwide in partnership with </w:t>
      </w:r>
      <w:r w:rsidR="00CE6768">
        <w:t xml:space="preserve">animal production systems and state departments of agriculture. </w:t>
      </w:r>
      <w:r w:rsidR="00E30780">
        <w:t>Dan s</w:t>
      </w:r>
      <w:r w:rsidR="00CE6768">
        <w:t>hared recent on-farm demonstration tr</w:t>
      </w:r>
      <w:r w:rsidR="00FB7AB7">
        <w:t>ials as applied across multiple species and vari</w:t>
      </w:r>
      <w:r w:rsidR="00E30780">
        <w:t>ety of farm facility operation</w:t>
      </w:r>
      <w:r w:rsidR="0002308B">
        <w:t xml:space="preserve"> types. </w:t>
      </w:r>
    </w:p>
    <w:p w14:paraId="1D48F2FF" w14:textId="77777777" w:rsidR="00B52222" w:rsidRDefault="00B52222" w:rsidP="0095554B"/>
    <w:p w14:paraId="7621A154" w14:textId="199C1F06" w:rsidR="00B52222" w:rsidRDefault="00D76315" w:rsidP="0095554B">
      <w:pPr>
        <w:rPr>
          <w:b/>
          <w:bCs/>
        </w:rPr>
      </w:pPr>
      <w:r>
        <w:rPr>
          <w:b/>
          <w:bCs/>
        </w:rPr>
        <w:t xml:space="preserve">Research presented for On-Farm Response to Animal Disease Incident </w:t>
      </w:r>
    </w:p>
    <w:p w14:paraId="7CDE2FC8" w14:textId="7D0DD3E6" w:rsidR="00B52222" w:rsidRPr="00B52222" w:rsidRDefault="00B52222" w:rsidP="0095554B">
      <w:r w:rsidRPr="00B52222">
        <w:t>Dr. Marie Culhane, University of Minnesota</w:t>
      </w:r>
    </w:p>
    <w:p w14:paraId="3D4BFC6A" w14:textId="4EE32BBC" w:rsidR="00B52222" w:rsidRDefault="003A15DF" w:rsidP="0095554B">
      <w:r>
        <w:tab/>
      </w:r>
      <w:r w:rsidR="00837C30">
        <w:t xml:space="preserve">Shared </w:t>
      </w:r>
      <w:proofErr w:type="gramStart"/>
      <w:r w:rsidR="00837C30">
        <w:t>researched</w:t>
      </w:r>
      <w:proofErr w:type="gramEnd"/>
      <w:r w:rsidR="00837C30">
        <w:t xml:space="preserve"> in partnership with University of Minnesota and The Ohio State University </w:t>
      </w:r>
      <w:r w:rsidR="00AB227B">
        <w:t>for on-farm animal disease incident response</w:t>
      </w:r>
      <w:r w:rsidR="008F34E8">
        <w:t xml:space="preserve">.  Included research with chickens, turkeys, </w:t>
      </w:r>
      <w:r w:rsidR="00817338">
        <w:t>calves,</w:t>
      </w:r>
      <w:r w:rsidR="008F34E8">
        <w:t xml:space="preserve"> and sheep which showed </w:t>
      </w:r>
      <w:r w:rsidR="005E178D">
        <w:t xml:space="preserve">the </w:t>
      </w:r>
      <w:r w:rsidR="00CA1580">
        <w:t>animals</w:t>
      </w:r>
      <w:r w:rsidR="008F34E8">
        <w:t xml:space="preserve"> physiologic measurements </w:t>
      </w:r>
      <w:r w:rsidR="00CA1580">
        <w:t xml:space="preserve">after on-farm application of disease response plan. </w:t>
      </w:r>
      <w:r w:rsidR="00817338">
        <w:t xml:space="preserve">Emphasized on-farm disease response </w:t>
      </w:r>
      <w:r w:rsidR="00447AF5">
        <w:t>use of resources including w</w:t>
      </w:r>
      <w:r w:rsidR="00FB21FF">
        <w:t xml:space="preserve">ater and any environmental residues. </w:t>
      </w:r>
    </w:p>
    <w:p w14:paraId="3EDDDF80" w14:textId="77777777" w:rsidR="00B52222" w:rsidRDefault="00B52222" w:rsidP="0095554B"/>
    <w:p w14:paraId="437E865C" w14:textId="5BEDF156" w:rsidR="00B52222" w:rsidRDefault="00B52222" w:rsidP="0095554B">
      <w:pPr>
        <w:rPr>
          <w:b/>
          <w:bCs/>
        </w:rPr>
      </w:pPr>
      <w:r w:rsidRPr="00B52222">
        <w:rPr>
          <w:b/>
          <w:bCs/>
        </w:rPr>
        <w:t>Promoting Swine Welfare During Extended Transport</w:t>
      </w:r>
    </w:p>
    <w:p w14:paraId="5929A7ED" w14:textId="28162484" w:rsidR="00B52222" w:rsidRDefault="00B52222" w:rsidP="0095554B">
      <w:r w:rsidRPr="00B52222">
        <w:t>Dr. Ben Blair, University of Illinois</w:t>
      </w:r>
    </w:p>
    <w:p w14:paraId="75D6D39F" w14:textId="32C26E94" w:rsidR="00B52222" w:rsidRDefault="003A15DF" w:rsidP="0095554B">
      <w:r>
        <w:tab/>
        <w:t>Review submitted summary with references at the end of this report.</w:t>
      </w:r>
    </w:p>
    <w:p w14:paraId="6D9846BF" w14:textId="77777777" w:rsidR="0095554B" w:rsidRDefault="0095554B" w:rsidP="003A15DF"/>
    <w:p w14:paraId="558CD478" w14:textId="456394EE" w:rsidR="0095554B" w:rsidRDefault="0095554B" w:rsidP="0095554B">
      <w:pPr>
        <w:rPr>
          <w:b/>
          <w:bCs/>
        </w:rPr>
      </w:pPr>
      <w:r>
        <w:rPr>
          <w:b/>
          <w:bCs/>
        </w:rPr>
        <w:t xml:space="preserve">Committee Business: </w:t>
      </w:r>
    </w:p>
    <w:p w14:paraId="188A5D41" w14:textId="38D6A05C" w:rsidR="0095554B" w:rsidRPr="001C330C" w:rsidRDefault="00C559E3" w:rsidP="0095554B">
      <w:pPr>
        <w:ind w:firstLine="360"/>
      </w:pPr>
      <w:r w:rsidRPr="001C330C">
        <w:t xml:space="preserve">Dr. Ben Wileman will be stepping down as Vice Chair of Animal Welfare Committee and Dr. Molly Parker will be taking over the position of Vice Chair of Animal Welfare Committee. </w:t>
      </w:r>
    </w:p>
    <w:p w14:paraId="50490B94" w14:textId="77777777" w:rsidR="003A15DF" w:rsidRDefault="003A15DF" w:rsidP="001C330C"/>
    <w:p w14:paraId="43B147CC" w14:textId="77777777" w:rsidR="001E313B" w:rsidRDefault="001E313B" w:rsidP="001E313B">
      <w:pPr>
        <w:ind w:firstLine="360"/>
      </w:pPr>
    </w:p>
    <w:p w14:paraId="09F2BC1B" w14:textId="0959F960" w:rsidR="003A15DF" w:rsidRPr="003A15DF" w:rsidRDefault="003A15DF" w:rsidP="001E313B">
      <w:pPr>
        <w:rPr>
          <w:b/>
          <w:bCs/>
          <w:u w:val="single"/>
        </w:rPr>
      </w:pPr>
      <w:r w:rsidRPr="003A15DF">
        <w:rPr>
          <w:b/>
          <w:bCs/>
          <w:u w:val="single"/>
        </w:rPr>
        <w:t xml:space="preserve">Supplemental Information </w:t>
      </w:r>
    </w:p>
    <w:p w14:paraId="6F5057EE" w14:textId="77777777" w:rsidR="003A15DF" w:rsidRDefault="003A15DF" w:rsidP="001E313B"/>
    <w:p w14:paraId="75D8D38B" w14:textId="77777777" w:rsidR="003A15DF" w:rsidRDefault="003A15DF" w:rsidP="003A15DF">
      <w:pPr>
        <w:jc w:val="center"/>
        <w:rPr>
          <w:rFonts w:ascii="Times New Roman" w:hAnsi="Times New Roman"/>
          <w:b/>
          <w:bCs/>
          <w:sz w:val="28"/>
          <w:szCs w:val="28"/>
          <w:u w:val="single"/>
        </w:rPr>
      </w:pPr>
      <w:r w:rsidRPr="00BC7F90">
        <w:rPr>
          <w:rFonts w:ascii="Times New Roman" w:hAnsi="Times New Roman"/>
          <w:b/>
          <w:bCs/>
          <w:sz w:val="28"/>
          <w:szCs w:val="28"/>
          <w:u w:val="single"/>
        </w:rPr>
        <w:t>Promoting Swine Welfare During Extended Transport: Current Practices in the U.S. Industry</w:t>
      </w:r>
    </w:p>
    <w:p w14:paraId="1A386B4B" w14:textId="77777777" w:rsidR="003A15DF" w:rsidRDefault="003A15DF" w:rsidP="003A15DF">
      <w:pPr>
        <w:rPr>
          <w:rFonts w:ascii="Times New Roman" w:hAnsi="Times New Roman"/>
          <w:b/>
          <w:bCs/>
          <w:sz w:val="28"/>
          <w:szCs w:val="28"/>
          <w:u w:val="single"/>
        </w:rPr>
      </w:pPr>
    </w:p>
    <w:p w14:paraId="0178D007" w14:textId="77777777" w:rsidR="003A15DF" w:rsidRDefault="003A15DF" w:rsidP="003A15DF">
      <w:pPr>
        <w:jc w:val="center"/>
        <w:rPr>
          <w:rFonts w:ascii="Times New Roman" w:hAnsi="Times New Roman"/>
        </w:rPr>
      </w:pPr>
      <w:r>
        <w:rPr>
          <w:rFonts w:ascii="Times New Roman" w:hAnsi="Times New Roman"/>
        </w:rPr>
        <w:t>B.W. Blair</w:t>
      </w:r>
    </w:p>
    <w:p w14:paraId="12D13D5D" w14:textId="77777777" w:rsidR="003A15DF" w:rsidRPr="00BC7F90" w:rsidRDefault="003A15DF" w:rsidP="003A15DF">
      <w:pPr>
        <w:jc w:val="center"/>
        <w:rPr>
          <w:rFonts w:ascii="Times New Roman" w:hAnsi="Times New Roman"/>
        </w:rPr>
      </w:pPr>
      <w:r>
        <w:rPr>
          <w:rFonts w:ascii="Times New Roman" w:hAnsi="Times New Roman"/>
        </w:rPr>
        <w:t>University of Illinois College of Veterinary Medicine</w:t>
      </w:r>
    </w:p>
    <w:p w14:paraId="002BE1B2" w14:textId="77777777" w:rsidR="003A15DF" w:rsidRDefault="003A15DF" w:rsidP="003A15DF">
      <w:pPr>
        <w:ind w:firstLine="720"/>
        <w:rPr>
          <w:rFonts w:ascii="Times New Roman" w:hAnsi="Times New Roman"/>
        </w:rPr>
      </w:pPr>
    </w:p>
    <w:p w14:paraId="2E7E1E87" w14:textId="77777777" w:rsidR="003A15DF" w:rsidRPr="00BC7F90" w:rsidRDefault="003A15DF" w:rsidP="003A15DF">
      <w:pPr>
        <w:ind w:firstLine="720"/>
        <w:rPr>
          <w:rFonts w:ascii="Times New Roman" w:hAnsi="Times New Roman"/>
        </w:rPr>
      </w:pPr>
      <w:r w:rsidRPr="00BC7F90">
        <w:rPr>
          <w:rFonts w:ascii="Times New Roman" w:hAnsi="Times New Roman"/>
        </w:rPr>
        <w:t xml:space="preserve">Ensuring the welfare of pigs during transport is a major concern for the U.S. swine industry, particularly during extended journeys lasting more than 48 hours, which includes time spent at secondary markets and collection points. Transport presents </w:t>
      </w:r>
      <w:r w:rsidRPr="00BC7F90">
        <w:rPr>
          <w:rFonts w:ascii="Times New Roman" w:hAnsi="Times New Roman"/>
        </w:rPr>
        <w:lastRenderedPageBreak/>
        <w:t>several challenges for swine welfare, including exposure to extreme temperatures, dehydration, fatigue, and stress from prolonged confinement. The industry follows the Transport Quality Assurance (TQA) (National Pork Board, 2022)</w:t>
      </w:r>
      <w:r>
        <w:rPr>
          <w:rFonts w:ascii="Times New Roman" w:hAnsi="Times New Roman"/>
        </w:rPr>
        <w:t xml:space="preserve"> </w:t>
      </w:r>
      <w:r w:rsidRPr="00BC7F90">
        <w:rPr>
          <w:rFonts w:ascii="Times New Roman" w:hAnsi="Times New Roman"/>
        </w:rPr>
        <w:t>guidelines to manage these challenges and ensure that pigs are transported in a manner that minimizes welfare risks.</w:t>
      </w:r>
    </w:p>
    <w:p w14:paraId="3765ED5C" w14:textId="77777777" w:rsidR="003A15DF" w:rsidRPr="00BC7F90" w:rsidRDefault="003A15DF" w:rsidP="003A15DF">
      <w:pPr>
        <w:ind w:firstLine="720"/>
        <w:rPr>
          <w:rFonts w:ascii="Times New Roman" w:hAnsi="Times New Roman"/>
        </w:rPr>
      </w:pPr>
      <w:r w:rsidRPr="00BC7F90">
        <w:rPr>
          <w:rFonts w:ascii="Times New Roman" w:hAnsi="Times New Roman"/>
        </w:rPr>
        <w:t>Thermal stress is one of the most significant welfare concerns during transport. According to studies on trailer thermal environments, when outdoor temperatures range from 5°C to 27°C, acceptable thermal conditions can generally be maintained inside the trailer using industry-recommended practices such as adjusting trailer boarding and bedding depth</w:t>
      </w:r>
      <w:r>
        <w:rPr>
          <w:rFonts w:ascii="Times New Roman" w:hAnsi="Times New Roman"/>
        </w:rPr>
        <w:t>.</w:t>
      </w:r>
      <w:r>
        <w:rPr>
          <w:rFonts w:ascii="Times New Roman" w:hAnsi="Times New Roman"/>
        </w:rPr>
        <w:fldChar w:fldCharType="begin"/>
      </w:r>
      <w:r>
        <w:rPr>
          <w:rFonts w:ascii="Times New Roman" w:hAnsi="Times New Roman"/>
        </w:rPr>
        <w:instrText xml:space="preserve"> ADDIN ZOTERO_ITEM CSL_CITATION {"citationID":"Effgb5gw","properties":{"formattedCitation":"\\super 1\\nosupersub{}","plainCitation":"1","noteIndex":0},"citationItems":[{"id":228,"uris":["http://zotero.org/users/local/aObApsM7/items/EL9UFYH7"],"itemData":{"id":228,"type":"article-journal","abstract":"Transport is a critical factor in modern pork production and can seriously affect swine welfare. While previous research has explored thermal conditions during transport, the impact of extreme weather conditions on the trailer thermal environment under industry practices has not been well documented; and the critical factors impacting microclimate  are not well understood. To assess the trailer microclimate during transport events, an instrumentation system was designed and installed at the central ceiling level, pig level and floor-level in each of six zones inside a commercial swine trailer. Transport environmental data from 34 monitoring trips (approximately 1–4 h in duration each) were collected from May, 2012, to February, 2013, with trailer management corresponding to the National Pork Board Transport Quality Assurance (TQA) guidelines in 31 of these trips. According to the TQA guidelines, for outdoor temperature ranging from 5 °C (40 °F) to 27 °C (80 °F), acceptable thermal conditions were observed based on the criteria that no more than 10% of the trip duration was above 35 °C (95 °F) or below 0 °C (32 °F). Recommended bedding, boarding and water application were sufficient in this range. Measurements support relaxing boarding guidelines for moderate outdoor conditions, as this did not result in less desirable conditions. Pigs experienced extended undesirable thermal conditions for outdoor temperatures above 27 °C (80 °F) or below 5 °C (40 °F), meriting a recommendation for further assessment of bedding, boarding and water application guidelines for extreme outdoor temperatures. An Emergency Livestock Weather Safety Index (LWSI) condition was observed inside the trailer when outdoor temperature exceeded 10 °C (50 °F); although the validity of LWSI to indicate heat stress for pigs during transport is not well established. Extreme pig surface temperatures in the rear and middle zones of the trailer were more frequently experienced than in the front zones, and the few observations of pigs dead or down upon arrival were noted in these zones. Observations indicate that arranging boarding placement may alter the ventilation patterns inside the trailer.","container-title":"Animals","DOI":"10.3390/ani5020226","ISSN":"2076-2615","issue":"2","journalAbbreviation":"Animals","language":"en","license":"https://creativecommons.org/licenses/by/4.0/","page":"226-244","source":"DOI.org (Crossref)","title":"Characteristics of Trailer Thermal Environment during Commercial Swine Transport Managed under U.S. Industry Guidelines","volume":"5","author":[{"family":"Xiong","given":"Yijie"},{"family":"Green","given":"Angela"},{"family":"Gates","given":"Richard"}],"issued":{"date-parts":[["2015",4,10]]}}}],"schema":"https://github.com/citation-style-language/schema/raw/master/csl-citation.json"} </w:instrText>
      </w:r>
      <w:r>
        <w:rPr>
          <w:rFonts w:ascii="Times New Roman" w:hAnsi="Times New Roman"/>
        </w:rPr>
        <w:fldChar w:fldCharType="separate"/>
      </w:r>
      <w:r w:rsidRPr="005F3BB4">
        <w:rPr>
          <w:rFonts w:ascii="Times New Roman" w:hAnsi="Times New Roman"/>
          <w:kern w:val="0"/>
          <w:vertAlign w:val="superscript"/>
        </w:rPr>
        <w:t>1</w:t>
      </w:r>
      <w:r>
        <w:rPr>
          <w:rFonts w:ascii="Times New Roman" w:hAnsi="Times New Roman"/>
        </w:rPr>
        <w:fldChar w:fldCharType="end"/>
      </w:r>
      <w:r>
        <w:rPr>
          <w:rFonts w:ascii="Times New Roman" w:hAnsi="Times New Roman"/>
        </w:rPr>
        <w:t xml:space="preserve"> </w:t>
      </w:r>
      <w:r w:rsidRPr="00BC7F90">
        <w:rPr>
          <w:rFonts w:ascii="Times New Roman" w:hAnsi="Times New Roman"/>
        </w:rPr>
        <w:t>However, at temperatures above 27°C or below 5°C, the risk of extreme heat or cold stress increases significantly, leading to increased pig mortality rates</w:t>
      </w:r>
      <w:r>
        <w:rPr>
          <w:rFonts w:ascii="Times New Roman" w:hAnsi="Times New Roman"/>
        </w:rPr>
        <w:t>.</w:t>
      </w:r>
      <w:r w:rsidRPr="00BC7F90">
        <w:rPr>
          <w:rFonts w:ascii="Times New Roman" w:hAnsi="Times New Roman"/>
        </w:rPr>
        <w:t xml:space="preserve"> </w:t>
      </w:r>
      <w:r>
        <w:rPr>
          <w:rFonts w:ascii="Times New Roman" w:hAnsi="Times New Roman"/>
        </w:rPr>
        <w:fldChar w:fldCharType="begin"/>
      </w:r>
      <w:r>
        <w:rPr>
          <w:rFonts w:ascii="Times New Roman" w:hAnsi="Times New Roman"/>
        </w:rPr>
        <w:instrText xml:space="preserve"> ADDIN ZOTERO_ITEM CSL_CITATION {"citationID":"7pKP2dg0","properties":{"formattedCitation":"\\super 2\\nosupersub{}","plainCitation":"2","noteIndex":0},"citationItems":[{"id":229,"uris":["http://zotero.org/users/local/aObApsM7/items/EIRAC2IY"],"itemData":{"id":229,"type":"article-journal","abstract":"Heat stress negatively inﬂuences the global pork industry and undermines genetic, nutritional, management and pharmaceutical advances in management, feed and reproductive efﬁciency. Speciﬁcally, heat stress-induced economic losses result from poor sow performance, reduced and inconsistent growth, decreased carcass quality, mortality, morbidity, and processing issues caused by less rigid adipose tissue (also known as ﬂimsy fat). When environmental conditions exceed the pig’s thermal neutral zone, nutrients are diverted from product synthesis (meat, fetus, milk) to body temperature maintenance thereby compromising efﬁciency. Unfortunately, genetic selection for both increased litter size and leaner phenotypes decreases pigs’ tolerance to heat, as enhanced fetal development and protein accretion results in increased basal heat production. Additionally, research has demonstrated that in utero heat stress negatively and permanently alters postnatal body temperature and body composition and both variables represent an underappreciated consequence of heat stress. Advances in management (i.e. cooling systems) have partially alleviated the negative impacts of heat stress, but productivity continues to decline during the warm summer months. The detrimental effects of heat stress on animal welfare and production will likely become more of an issue in regions most affected by continued predictions for climate change, with some models forecasting extreme summer conditions in key animal-producing areas of the globe. Therefore, heat stress is likely one of the primary factors limiting proﬁtable animal protein production and will certainly continue to compromise food security (especially in emerging countries) and regionalise pork production in developed countries. Thus, there is an urgent need to have a better understanding of how heat stress reduces animal productivity. Deﬁning the biology of how heat stress jeopardises animal performance is critical in developing approaches (genetic, managerial, nutritional and pharmaceutical) to ameliorate current production issues and improve animal wellbeing and performance.","container-title":"Animal Production Science","DOI":"10.1071/AN15267","ISSN":"1836-0939","issue":"12","journalAbbreviation":"Anim. Prod. Sci.","language":"en","page":"1381","source":"DOI.org (Crossref)","title":"Physiological consequences of heat stress in pigs","volume":"55","author":[{"family":"Ross","given":"J. W."},{"family":"Hale","given":"B. J."},{"family":"Gabler","given":"N. K."},{"family":"Rhoads","given":"R. P."},{"family":"Keating","given":"A. F."},{"family":"Baumgard","given":"L. H."}],"issued":{"date-parts":[["2015"]]}}}],"schema":"https://github.com/citation-style-language/schema/raw/master/csl-citation.json"} </w:instrText>
      </w:r>
      <w:r>
        <w:rPr>
          <w:rFonts w:ascii="Times New Roman" w:hAnsi="Times New Roman"/>
        </w:rPr>
        <w:fldChar w:fldCharType="separate"/>
      </w:r>
      <w:r w:rsidRPr="005F3BB4">
        <w:rPr>
          <w:rFonts w:ascii="Times New Roman" w:hAnsi="Times New Roman"/>
          <w:kern w:val="0"/>
          <w:vertAlign w:val="superscript"/>
        </w:rPr>
        <w:t>2</w:t>
      </w:r>
      <w:r>
        <w:rPr>
          <w:rFonts w:ascii="Times New Roman" w:hAnsi="Times New Roman"/>
        </w:rPr>
        <w:fldChar w:fldCharType="end"/>
      </w:r>
      <w:r w:rsidRPr="00BC7F90">
        <w:rPr>
          <w:rFonts w:ascii="Times New Roman" w:hAnsi="Times New Roman"/>
        </w:rPr>
        <w:t>During hot weather, water application and proper ventilation are critical to managing heat stress, while in cold weather, increased bedding and boarding are used to insulate pigs and protect them from hypothermia</w:t>
      </w:r>
      <w:r>
        <w:rPr>
          <w:rFonts w:ascii="Times New Roman" w:hAnsi="Times New Roman"/>
        </w:rPr>
        <w:t xml:space="preserve">. </w:t>
      </w:r>
      <w:r>
        <w:rPr>
          <w:rFonts w:ascii="Times New Roman" w:hAnsi="Times New Roman"/>
        </w:rPr>
        <w:fldChar w:fldCharType="begin"/>
      </w:r>
      <w:r>
        <w:rPr>
          <w:rFonts w:ascii="Times New Roman" w:hAnsi="Times New Roman"/>
        </w:rPr>
        <w:instrText xml:space="preserve"> ADDIN ZOTERO_ITEM CSL_CITATION {"citationID":"WSRhATpL","properties":{"formattedCitation":"\\super 3,4\\nosupersub{}","plainCitation":"3,4","noteIndex":0},"citationItems":[{"id":226,"uris":["http://zotero.org/users/local/aObApsM7/items/CEUARBKM"],"itemData":{"id":226,"type":"article-journal","abstract":"The aim of the study was to investigate effect of transport times of up to 12 h on pigs’ welfare. An observation box was located on the 3rd floor of the vehicle. Device to measure temperature, humidity and video camera to monitor pigs’ behaviors were fitted in the box. Eighteen measurements were performed during two seasons for 4, 8, and 12 h of transport time with three replications. Meat samples were taken from longissimus dorsi (LD) and the carcases were chilled for 24 h at +4 °C for pH determination. To determine cortisol, glucose, lactate, and creatine kinase concentration levels, blood samples were collected before and after transport from 90 pigs and from 20 controls that were not transported for control purposes. To evaluate behavioural alterations, frequency of events and durations were considered. Highest pH24 of 5.99 </w:instrText>
      </w:r>
      <w:r>
        <w:rPr>
          <w:rFonts w:ascii="Times New Roman" w:hAnsi="Times New Roman"/>
        </w:rPr>
        <w:instrText> 0.29 occurred during summer at 12 h transport time. Cortisol concentrations elevated during short and decreased with an increase of transport time (P &lt; 0.001). Highest and lowest glucose concentrations for winter and summer were at 8 and 12 h transport time, respectively (P &lt; 0.01). Concentrations of lactate and creatine kinase positively correlated with transport time (P &lt; 0.002). Lying, sitting, rooting and vocalization behaviours correlated with transport time (P &lt; 0.009). Certain THI values during summer surpassed normal (</w:instrText>
      </w:r>
      <w:r>
        <w:rPr>
          <w:rFonts w:ascii="Times New Roman" w:hAnsi="Times New Roman"/>
        </w:rPr>
        <w:instrText xml:space="preserve"> 74) level during loading. The pH24 value correlated with transport time during summer. Lactate and creatine kinase concentrations increased with an increase in transport time but for Glucose, highest value was at 8 h transport time.","language":"en","source":"Zotero","title":"Effect of Transport Times on Welfare of Pigs","author":[{"family":"Aradom","given":"Samuel"},{"family":"Gebresenbet","given":"Girma"},{"family":"Bulitta","given":"Fufa Sorri"},{"family":"Bobobee","given":"Emmanuel Yahoovie"},{"family":"Adam","given":"Musa"}]}},{"id":227,"uris":["http://zotero.org/users/local/aObApsM7/items/MEA2FYM3"],"itemData":{"id":227,"type":"article-journal","abstract":"Choosing the appropriate space allowances for slaughter pigs during transport has become an issue as, on one side, there is economical pressure to increase stocking densities in order to make maximum profit from a single journey, i.e. the more pigs transported, the lower the unit cost. On the other side, animal welfare (mortality) and carcass and meat quality may be compromised at too high or too low stocking densities. Market pigs can experience higher mortality (e.g. due to heat stress), injuries (bruises) and lower meat quality if the space allowed is not appropriate. Transport distances are largely governed by the availability of pigs in the region around the abattoir. However, journey times are likely to increase with the concentration of the slaughtering industry into fewer, larger plants for economic reasons. Pig welfare during transit is also highly dependent on vehicle design, driving method, quality of the road being travelled, ambient temperature, ventilation, noise levels and vibration of the vehicle. In 2006, the World Organisation for Animal Health (OIE) recommended animal transport times be kept to a minimum with sufficient space allowance for animals to lie down during transport, with consideration given for climate and ventilation capacity of transport vehicles. It is anticipated that global livestock welfare transport standards will follow.","language":"en","source":"Zotero","title":"Chapter 6. The welfare of pigs during transport","author":[{"family":"Bench","given":"C"},{"family":"Schaefer","given":"A"},{"family":"Faucitano","given":"L"}]}}],"schema":"https://github.com/citation-style-language/schema/raw/master/csl-citation.json"} </w:instrText>
      </w:r>
      <w:r>
        <w:rPr>
          <w:rFonts w:ascii="Times New Roman" w:hAnsi="Times New Roman"/>
        </w:rPr>
        <w:fldChar w:fldCharType="separate"/>
      </w:r>
      <w:r w:rsidRPr="005F3BB4">
        <w:rPr>
          <w:rFonts w:ascii="Times New Roman" w:hAnsi="Times New Roman"/>
          <w:kern w:val="0"/>
          <w:vertAlign w:val="superscript"/>
        </w:rPr>
        <w:t>3,4</w:t>
      </w:r>
      <w:r>
        <w:rPr>
          <w:rFonts w:ascii="Times New Roman" w:hAnsi="Times New Roman"/>
        </w:rPr>
        <w:fldChar w:fldCharType="end"/>
      </w:r>
      <w:r w:rsidRPr="00BC7F90">
        <w:rPr>
          <w:rFonts w:ascii="Times New Roman" w:hAnsi="Times New Roman"/>
        </w:rPr>
        <w:t xml:space="preserve"> </w:t>
      </w:r>
    </w:p>
    <w:p w14:paraId="5C4FB780" w14:textId="77777777" w:rsidR="003A15DF" w:rsidRPr="00BC7F90" w:rsidRDefault="003A15DF" w:rsidP="003A15DF">
      <w:pPr>
        <w:ind w:firstLine="720"/>
        <w:rPr>
          <w:rFonts w:ascii="Times New Roman" w:hAnsi="Times New Roman"/>
        </w:rPr>
      </w:pPr>
      <w:r w:rsidRPr="00BC7F90">
        <w:rPr>
          <w:rFonts w:ascii="Times New Roman" w:hAnsi="Times New Roman"/>
        </w:rPr>
        <w:t>Proper handling during loading, transport, and unloading is another key factor in maintaining welfare. Pigs are highly susceptible to stress during handling, and low-stress handling techniques are emphasized throughout the transport process to prevent injury and reduce stress levels</w:t>
      </w:r>
      <w:r>
        <w:rPr>
          <w:rFonts w:ascii="Times New Roman" w:hAnsi="Times New Roman"/>
        </w:rPr>
        <w:t xml:space="preserve">. </w:t>
      </w:r>
      <w:r>
        <w:rPr>
          <w:rFonts w:ascii="Times New Roman" w:hAnsi="Times New Roman"/>
        </w:rPr>
        <w:fldChar w:fldCharType="begin"/>
      </w:r>
      <w:r>
        <w:rPr>
          <w:rFonts w:ascii="Times New Roman" w:hAnsi="Times New Roman"/>
        </w:rPr>
        <w:instrText xml:space="preserve"> ADDIN ZOTERO_ITEM CSL_CITATION {"citationID":"GwLgzueH","properties":{"formattedCitation":"\\super 5\\nosupersub{}","plainCitation":"5","noteIndex":0},"citationItems":[{"id":235,"uris":["http://zotero.org/users/local/aObApsM7/items/YWJ9W7JR"],"itemData":{"id":235,"type":"article-journal","abstract":"The incidence of non-ambulatory non-injured (NANI), non-ambulatory injured (NAI) and dead pigs on-arrival at three Brazilian slaughterhouses were evaluated in 37,962 pigs to identify risk factors linked to them, besides carcass bruises and limb fractures. Total pre-slaughtering losses were 1.18%, in which NAI (0.39%) and NANI (0.37%) incidences contributed the most. A positive relation between on farm steeper ramp slope &gt; 20° and the incidence of NAI, NANI and dead pigs at unloading was found. Farm size, pigs/pen, enthalpy at loading, transportation time, truck loading order, muscle thickness and carcass weight, were identiﬁed as risk factors for pre-slaughtering losses. Loading procedures inﬂuenced the occurrence of limb fractures and bruises (which are a welfare issue and should be reduced). Therefore, personal training on pre-slaughter handling is essential to reduce the risk factors to improve animal welfare and avoid losses during the pre-slaughter process.","container-title":"Meat Science","DOI":"10.1016/j.meatsci.2019.04.020","ISSN":"03091740","journalAbbreviation":"Meat Science","language":"en","page":"61-68","source":"DOI.org (Crossref)","title":"Risk factors associated with pig pre-slaughtering losses","volume":"155","author":[{"family":"Dalla Costa","given":"Osmar Antônio"},{"family":"Dalla Costa","given":"Filipe Antonio"},{"family":"Feddern","given":"Vivian"},{"family":"Lopes","given":"Letícia Dos Santos"},{"family":"Coldebella","given":"Arlei"},{"family":"Gregory","given":"Neville George"},{"family":"De Lima","given":"Gustavo Julio Mello Monteiro"}],"issued":{"date-parts":[["2019",9]]}}}],"schema":"https://github.com/citation-style-language/schema/raw/master/csl-citation.json"} </w:instrText>
      </w:r>
      <w:r>
        <w:rPr>
          <w:rFonts w:ascii="Times New Roman" w:hAnsi="Times New Roman"/>
        </w:rPr>
        <w:fldChar w:fldCharType="separate"/>
      </w:r>
      <w:r w:rsidRPr="005F3BB4">
        <w:rPr>
          <w:rFonts w:ascii="Times New Roman" w:hAnsi="Times New Roman"/>
          <w:kern w:val="0"/>
          <w:vertAlign w:val="superscript"/>
        </w:rPr>
        <w:t>5</w:t>
      </w:r>
      <w:r>
        <w:rPr>
          <w:rFonts w:ascii="Times New Roman" w:hAnsi="Times New Roman"/>
        </w:rPr>
        <w:fldChar w:fldCharType="end"/>
      </w:r>
      <w:r w:rsidRPr="00BC7F90">
        <w:rPr>
          <w:rFonts w:ascii="Times New Roman" w:hAnsi="Times New Roman"/>
        </w:rPr>
        <w:t xml:space="preserve"> Research shows that pigs subjected to rough handling or transported in poor trailer designs exhibit higher levels of stress and more frequent injuries, underscoring the need for continuous improvements in handling protocols</w:t>
      </w:r>
      <w:r>
        <w:rPr>
          <w:rFonts w:ascii="Times New Roman" w:hAnsi="Times New Roman"/>
        </w:rPr>
        <w:t xml:space="preserve">. </w:t>
      </w:r>
      <w:r>
        <w:rPr>
          <w:rFonts w:ascii="Times New Roman" w:hAnsi="Times New Roman"/>
        </w:rPr>
        <w:fldChar w:fldCharType="begin"/>
      </w:r>
      <w:r>
        <w:rPr>
          <w:rFonts w:ascii="Times New Roman" w:hAnsi="Times New Roman"/>
        </w:rPr>
        <w:instrText xml:space="preserve"> ADDIN ZOTERO_ITEM CSL_CITATION {"citationID":"ebjcxFYG","properties":{"formattedCitation":"\\super 5\\uc0\\u8211{}8\\nosupersub{}","plainCitation":"5–8","noteIndex":0},"citationItems":[{"id":239,"uris":["http://zotero.org/users/local/aObApsM7/items/LIMSRAXZ"],"itemData":{"id":239,"type":"article-journal","abstract":"The eﬀect of diﬀerent group sizes of pigs (3, 5, and 10 pigs) during handling on physiological parameters, carcasses, and pork quality traits at the farm and slaughterhouse were evaluated in 360 pigs from ﬁve farms (four repetitions or group/treatment/farms). Data was analyzed as a factorial of 3 × 5 (3 treatments × 5 farms) to check eﬀects of treatments by analysis of variance in ANOVA. Ease of handling decreased as the group size increased. However, time taken in handling was not inﬂuenced by the group size (p &gt; 0.10). Moving pigs in groups of ﬁve animals reduced eﬀects on blood cortisol levels (p &lt; 0.05). Fighting and handling lesions in the carcasses increased for bigger handling groups (p &lt; 0.05). Pigs handled in groups of three and ten animals had a higher pHu and initial temperature in Longissimus thoracis and Semimembranosus (p &lt; 0.05) and lower drip loss in Semimembranosus (p &lt; 0.05). However, meat quality classiﬁcations of the carcasses were not aﬀected by treatments. Based on the results, moving groups of ﬁve pigs seems to be the best strategy to improve animal welfare, carcasses and pork quality.","container-title":"Animals","DOI":"10.3390/ani9100798","ISSN":"2076-2615","issue":"10","journalAbbreviation":"Animals","language":"en","license":"https://creativecommons.org/licenses/by/4.0/","page":"798","source":"DOI.org (Crossref)","title":"Ease of Handling and Physiological Parameters of Stress, Carcasses, and Pork Quality of Pigs Handled in Different Group Sizes","volume":"9","author":[{"family":"Dalla Costa","given":"Filipe Antonio"},{"family":"Dalla Costa","given":"Osmar Antonio"},{"family":"Di Castro","given":"Izabela Cruvinel"},{"family":"Gregory","given":"Neville George"},{"family":"Di Campos","given":"Melissa Selaysim"},{"family":"Leal","given":"Guilherme Brunno De Medeiros"},{"family":"Tavernari","given":"Fernando De Castro"}],"issued":{"date-parts":[["2019",10,14]]}}},{"id":235,"uris":["http://zotero.org/users/local/aObApsM7/items/YWJ9W7JR"],"itemData":{"id":235,"type":"article-journal","abstract":"The incidence of non-ambulatory non-injured (NANI), non-ambulatory injured (NAI) and dead pigs on-arrival at three Brazilian slaughterhouses were evaluated in 37,962 pigs to identify risk factors linked to them, besides carcass bruises and limb fractures. Total pre-slaughtering losses were 1.18%, in which NAI (0.39%) and NANI (0.37%) incidences contributed the most. A positive relation between on farm steeper ramp slope &gt; 20° and the incidence of NAI, NANI and dead pigs at unloading was found. Farm size, pigs/pen, enthalpy at loading, transportation time, truck loading order, muscle thickness and carcass weight, were identiﬁed as risk factors for pre-slaughtering losses. Loading procedures inﬂuenced the occurrence of limb fractures and bruises (which are a welfare issue and should be reduced). Therefore, personal training on pre-slaughter handling is essential to reduce the risk factors to improve animal welfare and avoid losses during the pre-slaughter process.","container-title":"Meat Science","DOI":"10.1016/j.meatsci.2019.04.020","ISSN":"03091740","journalAbbreviation":"Meat Science","language":"en","page":"61-68","source":"DOI.org (Crossref)","title":"Risk factors associated with pig pre-slaughtering losses","volume":"155","author":[{"family":"Dalla Costa","given":"Osmar Antônio"},{"family":"Dalla Costa","given":"Filipe Antonio"},{"family":"Feddern","given":"Vivian"},{"family":"Lopes","given":"Letícia Dos Santos"},{"family":"Coldebella","given":"Arlei"},{"family":"Gregory","given":"Neville George"},{"family":"De Lima","given":"Gustavo Julio Mello Monteiro"}],"issued":{"date-parts":[["2019",9]]}}},{"id":238,"uris":["http://zotero.org/users/local/aObApsM7/items/XAFGGX9L"],"itemData":{"id":238,"type":"article-journal","abstract":"Current educational literature based on experience suggests that moving pigs in small group sizes is preferred because pigs may experience less stress. This study sought to determine the optimal group size of pigs in a simulated move from home pens to a transport vehicle. Group sizes of pigs ranging from 1 to 10 pigs/group were handled through a standard handling course. During handling, cardiovascular responses, time, and handling measures were collected. Group size significantly influenced heart rate. As group size was increased, a linear increase (P b 0.05) in heart rate was observed. As group size increased, handling difficulty and time to complete the course increased (P b 0.05). Models calculated the total time required to load a simulated livestock trailer containing 170 pigs. The total time required to load a truck was similar (P N 0.10) when ten pigs were moved at a time as when 5 or 6 pigs were moved at a time. Moving pigs in groups of 5 or 6 caused less (P b 0.05) elevation of a heart rate than when pigs of larger group sizes were moved. Considering heart rate elevation and time to load a livestock trailer, moving 5 or 6 pigs at a time was optimum for both time savings and the least elevation of pig heart rate during handling.","container-title":"Livestock Science","DOI":"10.1016/j.livsci.2006.10.011","ISSN":"18711413","issue":"1","journalAbbreviation":"Livestock Science","language":"en","license":"https://www.elsevier.com/tdm/userlicense/1.0/","page":"86-90","source":"DOI.org (Crossref)","title":"Moving finishing pigs in different group sizes: Cardiovascular responses, time, and ease of handling","title-short":"Moving finishing pigs in different group sizes","volume":"107","author":[{"family":"Lewis","given":"C.R.G."},{"family":"McGlone","given":"J.J."}],"issued":{"date-parts":[["2007",3]]}}},{"id":232,"uris":["http://zotero.org/users/local/aObApsM7/items/4FCTCYPP"],"itemData":{"id":232,"type":"article-journal","abstract":"Transport of pigs to separate production facilities at the time of weaning is a common practice, primarily performed to reduce vertical transfer of disease and enhance production and overall farm efficiency. During transport, pigs are exposed to numerous stressors in conjunction with the stress experienced as a result of weaning. In this review, the behavioral and physiological response of pigs experiencing weaning and transport simultaneously will be described, including the effects of space allowance, season and transport duration. Based on the scientific literature, the gaps in the knowledge regarding potential welfare issues are discussed. Changes in behavior and physiology suggest that weaned pigs may experience stress due to transport. Space allowance, season and duration are aspects of transport that can have a marked impact on these responses. To date, the literature regarding the effects of transport on weaned pigs has primarily focused on the short term stress response and little is known about the effects of concurrent weaning and transport on other aspects of pig welfare including morbidity and mortality rates. Greater understanding of the short and long term consequences of transport on weaned pig welfare particularly in relation to factors such as trip duration, provision of feed and water, and best handling practices would benefit the swine industry. Furthermore, the development of guidelines and recommendations to enhance the short and long term welfare of weaned pigs in relation to transport are needed.","container-title":"Animals","DOI":"10.3390/ani4040657","ISSN":"2076-2615","issue":"4","journalAbbreviation":"Animals","language":"en","license":"https://creativecommons.org/licenses/by/4.0/","page":"657-669","source":"DOI.org (Crossref)","title":"Effects of Transport at Weaning on the Behavior, Physiology and Performance of Pigs","volume":"4","author":[{"family":"Sutherland","given":"Mhairi"},{"family":"Backus","given":"Brittany"},{"family":"McGlone","given":"John"}],"issued":{"date-parts":[["2014",10,27]]}}}],"schema":"https://github.com/citation-style-language/schema/raw/master/csl-citation.json"} </w:instrText>
      </w:r>
      <w:r>
        <w:rPr>
          <w:rFonts w:ascii="Times New Roman" w:hAnsi="Times New Roman"/>
        </w:rPr>
        <w:fldChar w:fldCharType="separate"/>
      </w:r>
      <w:r w:rsidRPr="005F3BB4">
        <w:rPr>
          <w:rFonts w:ascii="Times New Roman" w:hAnsi="Times New Roman"/>
          <w:kern w:val="0"/>
          <w:vertAlign w:val="superscript"/>
        </w:rPr>
        <w:t>5–8</w:t>
      </w:r>
      <w:r>
        <w:rPr>
          <w:rFonts w:ascii="Times New Roman" w:hAnsi="Times New Roman"/>
        </w:rPr>
        <w:fldChar w:fldCharType="end"/>
      </w:r>
    </w:p>
    <w:p w14:paraId="793FA02F" w14:textId="77777777" w:rsidR="003A15DF" w:rsidRPr="00BC7F90" w:rsidRDefault="003A15DF" w:rsidP="003A15DF">
      <w:pPr>
        <w:rPr>
          <w:rFonts w:ascii="Times New Roman" w:hAnsi="Times New Roman"/>
        </w:rPr>
      </w:pPr>
      <w:r w:rsidRPr="00BC7F90">
        <w:rPr>
          <w:rFonts w:ascii="Times New Roman" w:hAnsi="Times New Roman"/>
        </w:rPr>
        <w:t>Stocking density also plays a critical role in ensuring swine welfare during transport. Maintaining appropriate space allowances prevents overcrowding and allows pigs to move and regulate their body temperatures more effectively, reducing the risk of injury and heat stress</w:t>
      </w:r>
      <w:r>
        <w:rPr>
          <w:rFonts w:ascii="Times New Roman" w:hAnsi="Times New Roman"/>
        </w:rPr>
        <w:t xml:space="preserve">. </w:t>
      </w:r>
      <w:r>
        <w:rPr>
          <w:rFonts w:ascii="Times New Roman" w:hAnsi="Times New Roman"/>
        </w:rPr>
        <w:fldChar w:fldCharType="begin"/>
      </w:r>
      <w:r>
        <w:rPr>
          <w:rFonts w:ascii="Times New Roman" w:hAnsi="Times New Roman"/>
        </w:rPr>
        <w:instrText xml:space="preserve"> ADDIN ZOTERO_ITEM CSL_CITATION {"citationID":"fbrh3eUb","properties":{"formattedCitation":"\\super 9\\nosupersub{}","plainCitation":"9","noteIndex":0},"citationItems":[{"id":225,"uris":["http://zotero.org/users/local/aObApsM7/items/Z7AAM8ES"],"itemData":{"id":225,"type":"article-journal","abstract":"This paper reviews the effects of road transport on the welfare, carcass and meat quality of cattle, swine and poultry in North America (NA). The main effects of loading density, trailer microclimate, transport duration, animal size and condition, management factors including bedding, ventilation, handling, facilities, and vehicle design are summarized by species. The main effects listed above all have impacts on welfare (stress, health, injury, fatigue, dehydration, core body temperature, mortality and morbidity) and carcass and meat quality (shrink, bruising, pH, color defects and water losses) to varying degrees. It is clear that the effect of road transport is a multi-factorial problem where a combination of stressors rather than a single factor is responsible for the animal's well-being and meat quality post transport. Animals least ﬁt for transport suffer the greatest losses in terms of welfare and meat quality while market ready animals (in particular cattle and pigs) in good condition appear to have fewer issues. More research is needed to identify the factors or combination of factors with the greatest negative impacts on welfare and meat quality relative to the species, and their size, age and condition under extreme environmental conditions. Future research needs to focus on controlled scientiﬁc assessments, under NA conditions, of varying loading densities, trailer design, microclimate, and handling quality during the transport process. Achieving optimal animal well-being, carcass and meat quality will entirely depend on the quality of the animal transport process.","container-title":"Meat Science","DOI":"10.1016/j.meatsci.2012.04.010","ISSN":"03091740","issue":"3","journalAbbreviation":"Meat Science","language":"en","license":"https://www.elsevier.com/tdm/userlicense/1.0/","page":"227-243","source":"DOI.org (Crossref)","title":"Road transport of cattle, swine and poultry in North America and its impact on animal welfare, carcass and meat quality: A review","title-short":"Road transport of cattle, swine and poultry in North America and its impact on animal welfare, carcass and meat quality","volume":"92","author":[{"family":"Schwartzkopf-Genswein","given":"K.S."},{"family":"Faucitano","given":"L."},{"family":"Dadgar","given":"S."},{"family":"Shand","given":"P."},{"family":"González","given":"L.A."},{"family":"Crowe","given":"T.G."}],"issued":{"date-parts":[["2012",11]]}}}],"schema":"https://github.com/citation-style-language/schema/raw/master/csl-citation.json"} </w:instrText>
      </w:r>
      <w:r>
        <w:rPr>
          <w:rFonts w:ascii="Times New Roman" w:hAnsi="Times New Roman"/>
        </w:rPr>
        <w:fldChar w:fldCharType="separate"/>
      </w:r>
      <w:r w:rsidRPr="005F3BB4">
        <w:rPr>
          <w:rFonts w:ascii="Times New Roman" w:hAnsi="Times New Roman"/>
          <w:kern w:val="0"/>
          <w:vertAlign w:val="superscript"/>
        </w:rPr>
        <w:t>9</w:t>
      </w:r>
      <w:r>
        <w:rPr>
          <w:rFonts w:ascii="Times New Roman" w:hAnsi="Times New Roman"/>
        </w:rPr>
        <w:fldChar w:fldCharType="end"/>
      </w:r>
      <w:r>
        <w:rPr>
          <w:rFonts w:ascii="Times New Roman" w:hAnsi="Times New Roman"/>
        </w:rPr>
        <w:t xml:space="preserve"> </w:t>
      </w:r>
      <w:r w:rsidRPr="00BC7F90">
        <w:rPr>
          <w:rFonts w:ascii="Times New Roman" w:hAnsi="Times New Roman"/>
        </w:rPr>
        <w:t>When combined with the proper management of trailer ventilation and thermal conditions, stocking density becomes a vital factor in minimizing welfare risks.</w:t>
      </w:r>
    </w:p>
    <w:p w14:paraId="18F1207D" w14:textId="77777777" w:rsidR="003A15DF" w:rsidRPr="00BC7F90" w:rsidRDefault="003A15DF" w:rsidP="003A15DF">
      <w:pPr>
        <w:ind w:firstLine="720"/>
        <w:rPr>
          <w:rFonts w:ascii="Times New Roman" w:hAnsi="Times New Roman"/>
        </w:rPr>
      </w:pPr>
      <w:r w:rsidRPr="00BC7F90">
        <w:rPr>
          <w:rFonts w:ascii="Times New Roman" w:hAnsi="Times New Roman"/>
        </w:rPr>
        <w:t>Feed and water management is another important consideration for extended journeys. Although feed withdrawal is a common practice before transport to reduce the risk of gastrointestinal upset, prolonged journeys without access to feed or water can exacerbate dehydration and fatigue</w:t>
      </w:r>
      <w:r>
        <w:rPr>
          <w:rFonts w:ascii="Times New Roman" w:hAnsi="Times New Roman"/>
        </w:rPr>
        <w:t xml:space="preserve">. </w:t>
      </w:r>
      <w:r>
        <w:rPr>
          <w:rFonts w:ascii="Times New Roman" w:hAnsi="Times New Roman"/>
        </w:rPr>
        <w:fldChar w:fldCharType="begin"/>
      </w:r>
      <w:r>
        <w:rPr>
          <w:rFonts w:ascii="Times New Roman" w:hAnsi="Times New Roman"/>
        </w:rPr>
        <w:instrText xml:space="preserve"> ADDIN ZOTERO_ITEM CSL_CITATION {"citationID":"Hb60ZQu2","properties":{"formattedCitation":"\\super 10,11\\nosupersub{}","plainCitation":"10,11","noteIndex":0},"citationItems":[{"id":241,"uris":["http://zotero.org/users/local/aObApsM7/items/ED9ST3QW"],"itemData":{"id":241,"type":"article-journal","abstract":"Transportation is a complex stressor made up of factors including weaning itself and withdrawal from feed and water. Therefore, transportation has the potential to negatively impact the health and welfare of weaned pigs. Pigs were transported for 32 h and measures of performance, physiology, and behavior were taken to assess piglet welfare. Treatment groups included pigs not weaned or transported (CON), weaned pigs provided with feed and water (WEAN+), weaned pigs not provided with feed and water (WEAN−), weaned and transported pigs provided with feed and water (TRANS+), and weaned and transported pigs not provided with feed and water (TRANS−). Body weight loss was different among treatments (p &lt; 0.01). CON pigs had a 6.5% ± 0.45% gain in body weight after 32 h. WEAN+, WEAN−, TRANS+, and TRANS− groups all had a loss in body weight of 5.9% ± 0.45%, 7.8% ± 0.45%, 6.5% ± 0.45% and 9.1% ± 0.46%, respectively. The N:L was greater in all weaned pigs at 8 h compared to CON pigs (p &lt; 0.01). WEAN− and transported pigs had signiﬁcantly higher N:L than CON pigs from 8 h through 16 h, however, all treatment groups were similar to CON pigs after 16 h irrespective of provision of feed and water. Blood glucose levels were lower in transported and/or weaned pigs than CON pigs after 16 h irrespective of the provision of feed and water. TRANS+ females had higher creatine kinase (CK) levels than males (p &lt; 0.05). After a 16 h transport period, TRANS− pigs had higher total plasma protein (TP) levels than all other treatment groups (p &lt; 0.05). Signiﬁcant changes in behavior were observed during and after transportation, which could also be indicative of stress. Overall, transportation and weaning had a negative effect on performance, physiology and behavior (both during and post-weaning) of pigs, especially when feed and water was not provided. Transporting pigs without feed and water for more than 24 h was a welfare concern as indicated by changes in body weight and physiology measures of stress.","container-title":"Animals","DOI":"10.3390/ani5020363","ISSN":"2076-2615","issue":"2","journalAbbreviation":"Animals","language":"en","license":"https://creativecommons.org/licenses/by/4.0/","page":"407-425","source":"DOI.org (Crossref)","title":"Effect of Provision of Feed and Water during Transport on the Welfare of Weaned Pigs","volume":"5","author":[{"family":"Garcia","given":"Arlene"},{"family":"Pirner","given":"Glenna"},{"family":"Picinin","given":"Guilherme"},{"family":"May","given":"Matthew"},{"family":"Guay","given":"Kimberly"},{"family":"Backus","given":"Brittany"},{"family":"Sutherland","given":"Mhairi"},{"family":"McGlone","given":"John"}],"issued":{"date-parts":[["2015",6,4]]}}},{"id":231,"uris":["http://zotero.org/users/local/aObApsM7/items/3DPSXTEB"],"itemData":{"id":231,"type":"article-journal","abstract":"The purpose of this review is to present the best available scientiﬁc knowledge on key animal welfare issues during swine transport, such as transport duration and distance, time off feed and water, rest intervals, environmental conditions, loading density, and transport of young animals, based on their impact on stress, injury, fatigue, dehydration, body temperature, mortality, and carcass and meat quality. The review was limited to this set of priority welfare issues which were identiﬁed by the National Farm Animal Care Council (NFACC) Scientiﬁc Committee to help with the development of the livestock transportation Codes of Practice. This review focuses primarily on research related to the transport of market pigs (100–135 kg) which is a reﬂection of the current literature available on pig transportation. This information presented here can be used to support other animal welfare codes, guidelines, standards or legislations regulating the welfare of pigs during transport. Based on the available literature, clear conclusions can be drawn on the impact of vehicle design, pre-transport fasting, control of environmental conditions and loading density on the welfare of pigs during transport and on pork quality. However, the effects of journey duration are still unclear and a recommendation on the maximum transport time cannot be provided. Further studies investigating the impact of factors, such as ambient conditions within the transport vehicle, loading density at extreme ambient conditions, travel distances, maximum travel duration, rest/stop duration, and management of pigs during rest stops are required. More speciﬁcally, further research in relation to the welfare of market weight, newly weaned and breeding pigs, and cull sows and boars during transport is needed.","container-title":"Frontiers in Veterinary Science","DOI":"10.3389/fvets.2019.00036","ISSN":"2297-1769","journalAbbreviation":"Front. Vet. Sci.","language":"en","page":"36","source":"DOI.org (Crossref)","title":"A Review of Swine Transportation Research on Priority Welfare Issues: A Canadian Perspective","title-short":"A Review of Swine Transportation Research on Priority Welfare Issues","volume":"6","author":[{"family":"Rioja-Lang","given":"Fiona C."},{"family":"Brown","given":"Jennifer A."},{"family":"Brockhoff","given":"Egan J."},{"family":"Faucitano","given":"Luigi"}],"issued":{"date-parts":[["2019",2,22]]}}}],"schema":"https://github.com/citation-style-language/schema/raw/master/csl-citation.json"} </w:instrText>
      </w:r>
      <w:r>
        <w:rPr>
          <w:rFonts w:ascii="Times New Roman" w:hAnsi="Times New Roman"/>
        </w:rPr>
        <w:fldChar w:fldCharType="separate"/>
      </w:r>
      <w:r w:rsidRPr="005F3BB4">
        <w:rPr>
          <w:rFonts w:ascii="Times New Roman" w:hAnsi="Times New Roman"/>
          <w:kern w:val="0"/>
          <w:vertAlign w:val="superscript"/>
        </w:rPr>
        <w:t>10,11</w:t>
      </w:r>
      <w:r>
        <w:rPr>
          <w:rFonts w:ascii="Times New Roman" w:hAnsi="Times New Roman"/>
        </w:rPr>
        <w:fldChar w:fldCharType="end"/>
      </w:r>
      <w:r>
        <w:rPr>
          <w:rFonts w:ascii="Times New Roman" w:hAnsi="Times New Roman"/>
        </w:rPr>
        <w:t xml:space="preserve"> </w:t>
      </w:r>
      <w:r w:rsidRPr="00BC7F90">
        <w:rPr>
          <w:rFonts w:ascii="Times New Roman" w:hAnsi="Times New Roman"/>
        </w:rPr>
        <w:t>Currently, U.S. regulations do not mandate the provision of feed and water stations during transport, but industry best practices suggest that such interventions should be considered for journeys exceeding 48 hours (National Pork Board, 2022).</w:t>
      </w:r>
    </w:p>
    <w:p w14:paraId="75782729" w14:textId="77777777" w:rsidR="003A15DF" w:rsidRPr="00BC7F90" w:rsidRDefault="003A15DF" w:rsidP="003A15DF">
      <w:pPr>
        <w:ind w:firstLine="720"/>
        <w:rPr>
          <w:rFonts w:ascii="Times New Roman" w:hAnsi="Times New Roman"/>
        </w:rPr>
      </w:pPr>
      <w:r w:rsidRPr="00BC7F90">
        <w:rPr>
          <w:rFonts w:ascii="Times New Roman" w:hAnsi="Times New Roman"/>
        </w:rPr>
        <w:t>Technological advancements have also become a vital part of promoting swine welfare during transport. GPS tracking, temperature sensors, and real-time monitoring systems allow transporters to track trailer conditions, monitor pig welfare, and intervene when necessary to prevent thermal stress or other welfare issues (Xiong et al., 2015). These technologies are becoming more common as the industry continues to refine transport practices to meet both regulatory standards and growing consumer expectations for humane animal treatment.</w:t>
      </w:r>
    </w:p>
    <w:p w14:paraId="1D83423D" w14:textId="77777777" w:rsidR="003A15DF" w:rsidRDefault="003A15DF" w:rsidP="003A15DF">
      <w:pPr>
        <w:rPr>
          <w:rFonts w:ascii="Times New Roman" w:hAnsi="Times New Roman"/>
        </w:rPr>
      </w:pPr>
    </w:p>
    <w:p w14:paraId="4F90D8D4" w14:textId="77777777" w:rsidR="003A15DF" w:rsidRDefault="003A15DF" w:rsidP="003A15DF">
      <w:pPr>
        <w:ind w:firstLine="720"/>
        <w:rPr>
          <w:rFonts w:ascii="Times New Roman" w:hAnsi="Times New Roman"/>
        </w:rPr>
      </w:pPr>
      <w:r w:rsidRPr="00BC7F90">
        <w:rPr>
          <w:rFonts w:ascii="Times New Roman" w:hAnsi="Times New Roman"/>
        </w:rPr>
        <w:t>In conclusion, the U.S. swine industry has adopted several practices to promote the welfare of pigs during extended transport, including temperature management, low-stress handling techniques, appropriate stocking densities, and the use of real-time monitoring technologies. While current practices have significantly improved welfare outcomes, ongoing research and advancements in technology are essential to further enhancing welfare standards for pigs on long journeys.</w:t>
      </w:r>
    </w:p>
    <w:p w14:paraId="56F2A7E0" w14:textId="77777777" w:rsidR="003A15DF" w:rsidRDefault="003A15DF" w:rsidP="003A15DF">
      <w:pPr>
        <w:rPr>
          <w:rFonts w:ascii="Times New Roman" w:hAnsi="Times New Roman"/>
        </w:rPr>
      </w:pPr>
    </w:p>
    <w:p w14:paraId="02DB1F7A" w14:textId="79319321" w:rsidR="003A15DF" w:rsidRPr="003A15DF" w:rsidRDefault="003A15DF" w:rsidP="003A15DF">
      <w:pPr>
        <w:rPr>
          <w:rFonts w:ascii="Times New Roman" w:hAnsi="Times New Roman"/>
        </w:rPr>
      </w:pPr>
      <w:r>
        <w:rPr>
          <w:rFonts w:ascii="Times New Roman" w:hAnsi="Times New Roman"/>
        </w:rPr>
        <w:t>References</w:t>
      </w:r>
    </w:p>
    <w:p w14:paraId="2B53325C" w14:textId="77777777" w:rsidR="003A15DF" w:rsidRDefault="003A15DF" w:rsidP="003A15DF"/>
    <w:p w14:paraId="31BFBF41" w14:textId="77777777" w:rsidR="003A15DF" w:rsidRPr="003A15DF" w:rsidRDefault="003A15DF" w:rsidP="003A15DF">
      <w:pPr>
        <w:pStyle w:val="Bibliography"/>
        <w:rPr>
          <w:rFonts w:ascii="Times New Roman" w:hAnsi="Times New Roman"/>
        </w:rPr>
      </w:pPr>
      <w:r w:rsidRPr="003A15DF">
        <w:rPr>
          <w:rFonts w:ascii="Times New Roman" w:hAnsi="Times New Roman"/>
        </w:rPr>
        <w:fldChar w:fldCharType="begin"/>
      </w:r>
      <w:r w:rsidRPr="003A15DF">
        <w:rPr>
          <w:rFonts w:ascii="Times New Roman" w:hAnsi="Times New Roman"/>
        </w:rPr>
        <w:instrText xml:space="preserve"> ADDIN ZOTERO_BIBL {"uncited":[],"omitted":[],"custom":[]} CSL_BIBLIOGRAPHY </w:instrText>
      </w:r>
      <w:r w:rsidRPr="003A15DF">
        <w:rPr>
          <w:rFonts w:ascii="Times New Roman" w:hAnsi="Times New Roman"/>
        </w:rPr>
        <w:fldChar w:fldCharType="separate"/>
      </w:r>
      <w:r w:rsidRPr="003A15DF">
        <w:rPr>
          <w:rFonts w:ascii="Times New Roman" w:hAnsi="Times New Roman"/>
        </w:rPr>
        <w:t>1.</w:t>
      </w:r>
      <w:r w:rsidRPr="003A15DF">
        <w:rPr>
          <w:rFonts w:ascii="Times New Roman" w:hAnsi="Times New Roman"/>
        </w:rPr>
        <w:tab/>
        <w:t xml:space="preserve">Xiong Y, Green A, Gates R. Characteristics of Trailer Thermal Environment during Commercial Swine Transport Managed under U.S. Industry Guidelines. </w:t>
      </w:r>
      <w:r w:rsidRPr="003A15DF">
        <w:rPr>
          <w:rFonts w:ascii="Times New Roman" w:hAnsi="Times New Roman"/>
          <w:i/>
          <w:iCs/>
        </w:rPr>
        <w:t>Animals</w:t>
      </w:r>
      <w:r w:rsidRPr="003A15DF">
        <w:rPr>
          <w:rFonts w:ascii="Times New Roman" w:hAnsi="Times New Roman"/>
        </w:rPr>
        <w:t>. 2015;5(2):226-244. doi:10.3390/ani5020226</w:t>
      </w:r>
    </w:p>
    <w:p w14:paraId="2418E433" w14:textId="77777777" w:rsidR="003A15DF" w:rsidRPr="003A15DF" w:rsidRDefault="003A15DF" w:rsidP="003A15DF">
      <w:pPr>
        <w:pStyle w:val="Bibliography"/>
        <w:rPr>
          <w:rFonts w:ascii="Times New Roman" w:hAnsi="Times New Roman"/>
        </w:rPr>
      </w:pPr>
      <w:r w:rsidRPr="003A15DF">
        <w:rPr>
          <w:rFonts w:ascii="Times New Roman" w:hAnsi="Times New Roman"/>
        </w:rPr>
        <w:t>2.</w:t>
      </w:r>
      <w:r w:rsidRPr="003A15DF">
        <w:rPr>
          <w:rFonts w:ascii="Times New Roman" w:hAnsi="Times New Roman"/>
        </w:rPr>
        <w:tab/>
        <w:t xml:space="preserve">Ross JW, Hale BJ, Gabler NK, Rhoads RP, Keating AF, Baumgard LH. Physiological consequences of heat stress in pigs. </w:t>
      </w:r>
      <w:r w:rsidRPr="003A15DF">
        <w:rPr>
          <w:rFonts w:ascii="Times New Roman" w:hAnsi="Times New Roman"/>
          <w:i/>
          <w:iCs/>
        </w:rPr>
        <w:t>Anim Prod Sci</w:t>
      </w:r>
      <w:r w:rsidRPr="003A15DF">
        <w:rPr>
          <w:rFonts w:ascii="Times New Roman" w:hAnsi="Times New Roman"/>
        </w:rPr>
        <w:t>. 2015;55(12):1381. doi:10.1071/AN15267</w:t>
      </w:r>
    </w:p>
    <w:p w14:paraId="69F74C38" w14:textId="77777777" w:rsidR="003A15DF" w:rsidRPr="003A15DF" w:rsidRDefault="003A15DF" w:rsidP="003A15DF">
      <w:pPr>
        <w:pStyle w:val="Bibliography"/>
        <w:rPr>
          <w:rFonts w:ascii="Times New Roman" w:hAnsi="Times New Roman"/>
        </w:rPr>
      </w:pPr>
      <w:r w:rsidRPr="003A15DF">
        <w:rPr>
          <w:rFonts w:ascii="Times New Roman" w:hAnsi="Times New Roman"/>
        </w:rPr>
        <w:t>3.</w:t>
      </w:r>
      <w:r w:rsidRPr="003A15DF">
        <w:rPr>
          <w:rFonts w:ascii="Times New Roman" w:hAnsi="Times New Roman"/>
        </w:rPr>
        <w:tab/>
        <w:t>Aradom S, Gebresenbet G, Bulitta FS, Bobobee EY, Adam M. Effect of Transport Times on Welfare of Pigs.</w:t>
      </w:r>
    </w:p>
    <w:p w14:paraId="4F33FC6D" w14:textId="77777777" w:rsidR="003A15DF" w:rsidRPr="003A15DF" w:rsidRDefault="003A15DF" w:rsidP="003A15DF">
      <w:pPr>
        <w:pStyle w:val="Bibliography"/>
        <w:rPr>
          <w:rFonts w:ascii="Times New Roman" w:hAnsi="Times New Roman"/>
        </w:rPr>
      </w:pPr>
      <w:r w:rsidRPr="003A15DF">
        <w:rPr>
          <w:rFonts w:ascii="Times New Roman" w:hAnsi="Times New Roman"/>
        </w:rPr>
        <w:t>4.</w:t>
      </w:r>
      <w:r w:rsidRPr="003A15DF">
        <w:rPr>
          <w:rFonts w:ascii="Times New Roman" w:hAnsi="Times New Roman"/>
        </w:rPr>
        <w:tab/>
        <w:t>Bench C, Schaefer A, Faucitano L. Chapter 6. The welfare of pigs during transport.</w:t>
      </w:r>
    </w:p>
    <w:p w14:paraId="1867B3A6" w14:textId="77777777" w:rsidR="003A15DF" w:rsidRPr="003A15DF" w:rsidRDefault="003A15DF" w:rsidP="003A15DF">
      <w:pPr>
        <w:pStyle w:val="Bibliography"/>
        <w:rPr>
          <w:rFonts w:ascii="Times New Roman" w:hAnsi="Times New Roman"/>
        </w:rPr>
      </w:pPr>
      <w:r w:rsidRPr="003A15DF">
        <w:rPr>
          <w:rFonts w:ascii="Times New Roman" w:hAnsi="Times New Roman"/>
        </w:rPr>
        <w:t>5.</w:t>
      </w:r>
      <w:r w:rsidRPr="003A15DF">
        <w:rPr>
          <w:rFonts w:ascii="Times New Roman" w:hAnsi="Times New Roman"/>
        </w:rPr>
        <w:tab/>
        <w:t xml:space="preserve">Dalla Costa OA, Dalla Costa FA, Feddern V, et al. Risk factors associated with pig pre-slaughtering losses. </w:t>
      </w:r>
      <w:r w:rsidRPr="003A15DF">
        <w:rPr>
          <w:rFonts w:ascii="Times New Roman" w:hAnsi="Times New Roman"/>
          <w:i/>
          <w:iCs/>
        </w:rPr>
        <w:t>Meat Sci</w:t>
      </w:r>
      <w:r w:rsidRPr="003A15DF">
        <w:rPr>
          <w:rFonts w:ascii="Times New Roman" w:hAnsi="Times New Roman"/>
        </w:rPr>
        <w:t>. 2019;155:61-68. doi:10.1016/j.meatsci.2019.04.020</w:t>
      </w:r>
    </w:p>
    <w:p w14:paraId="5D6396CF" w14:textId="77777777" w:rsidR="003A15DF" w:rsidRPr="003A15DF" w:rsidRDefault="003A15DF" w:rsidP="003A15DF">
      <w:pPr>
        <w:pStyle w:val="Bibliography"/>
        <w:rPr>
          <w:rFonts w:ascii="Times New Roman" w:hAnsi="Times New Roman"/>
        </w:rPr>
      </w:pPr>
      <w:r w:rsidRPr="003A15DF">
        <w:rPr>
          <w:rFonts w:ascii="Times New Roman" w:hAnsi="Times New Roman"/>
        </w:rPr>
        <w:t>6.</w:t>
      </w:r>
      <w:r w:rsidRPr="003A15DF">
        <w:rPr>
          <w:rFonts w:ascii="Times New Roman" w:hAnsi="Times New Roman"/>
        </w:rPr>
        <w:tab/>
        <w:t xml:space="preserve">Dalla Costa FA, Dalla Costa OA, Di Castro IC, et al. Ease of Handling and Physiological Parameters of Stress, Carcasses, and Pork Quality of Pigs Handled in Different Group Sizes. </w:t>
      </w:r>
      <w:r w:rsidRPr="003A15DF">
        <w:rPr>
          <w:rFonts w:ascii="Times New Roman" w:hAnsi="Times New Roman"/>
          <w:i/>
          <w:iCs/>
        </w:rPr>
        <w:t>Animals</w:t>
      </w:r>
      <w:r w:rsidRPr="003A15DF">
        <w:rPr>
          <w:rFonts w:ascii="Times New Roman" w:hAnsi="Times New Roman"/>
        </w:rPr>
        <w:t>. 2019;9(10):798. doi:10.3390/ani9100798</w:t>
      </w:r>
    </w:p>
    <w:p w14:paraId="509D632F" w14:textId="77777777" w:rsidR="003A15DF" w:rsidRPr="003A15DF" w:rsidRDefault="003A15DF" w:rsidP="003A15DF">
      <w:pPr>
        <w:pStyle w:val="Bibliography"/>
        <w:rPr>
          <w:rFonts w:ascii="Times New Roman" w:hAnsi="Times New Roman"/>
        </w:rPr>
      </w:pPr>
      <w:r w:rsidRPr="003A15DF">
        <w:rPr>
          <w:rFonts w:ascii="Times New Roman" w:hAnsi="Times New Roman"/>
        </w:rPr>
        <w:t>7.</w:t>
      </w:r>
      <w:r w:rsidRPr="003A15DF">
        <w:rPr>
          <w:rFonts w:ascii="Times New Roman" w:hAnsi="Times New Roman"/>
        </w:rPr>
        <w:tab/>
        <w:t xml:space="preserve">Lewis CRG, McGlone JJ. Moving finishing pigs in different group sizes: Cardiovascular responses, time, and ease of handling. </w:t>
      </w:r>
      <w:r w:rsidRPr="003A15DF">
        <w:rPr>
          <w:rFonts w:ascii="Times New Roman" w:hAnsi="Times New Roman"/>
          <w:i/>
          <w:iCs/>
        </w:rPr>
        <w:t>Livest Sci</w:t>
      </w:r>
      <w:r w:rsidRPr="003A15DF">
        <w:rPr>
          <w:rFonts w:ascii="Times New Roman" w:hAnsi="Times New Roman"/>
        </w:rPr>
        <w:t>. 2007;107(1):86-90. doi:10.1016/j.livsci.2006.10.011</w:t>
      </w:r>
    </w:p>
    <w:p w14:paraId="40F2CFB3" w14:textId="77777777" w:rsidR="003A15DF" w:rsidRPr="003A15DF" w:rsidRDefault="003A15DF" w:rsidP="003A15DF">
      <w:pPr>
        <w:pStyle w:val="Bibliography"/>
        <w:rPr>
          <w:rFonts w:ascii="Times New Roman" w:hAnsi="Times New Roman"/>
        </w:rPr>
      </w:pPr>
      <w:r w:rsidRPr="003A15DF">
        <w:rPr>
          <w:rFonts w:ascii="Times New Roman" w:hAnsi="Times New Roman"/>
        </w:rPr>
        <w:t>8.</w:t>
      </w:r>
      <w:r w:rsidRPr="003A15DF">
        <w:rPr>
          <w:rFonts w:ascii="Times New Roman" w:hAnsi="Times New Roman"/>
        </w:rPr>
        <w:tab/>
        <w:t xml:space="preserve">Sutherland M, Backus B, McGlone J. Effects of Transport at Weaning on the Behavior, Physiology and Performance of Pigs. </w:t>
      </w:r>
      <w:r w:rsidRPr="003A15DF">
        <w:rPr>
          <w:rFonts w:ascii="Times New Roman" w:hAnsi="Times New Roman"/>
          <w:i/>
          <w:iCs/>
        </w:rPr>
        <w:t>Animals</w:t>
      </w:r>
      <w:r w:rsidRPr="003A15DF">
        <w:rPr>
          <w:rFonts w:ascii="Times New Roman" w:hAnsi="Times New Roman"/>
        </w:rPr>
        <w:t>. 2014;4(4):657-669. doi:10.3390/ani4040657</w:t>
      </w:r>
    </w:p>
    <w:p w14:paraId="3E16E6C3" w14:textId="77777777" w:rsidR="003A15DF" w:rsidRPr="003A15DF" w:rsidRDefault="003A15DF" w:rsidP="003A15DF">
      <w:pPr>
        <w:pStyle w:val="Bibliography"/>
        <w:rPr>
          <w:rFonts w:ascii="Times New Roman" w:hAnsi="Times New Roman"/>
        </w:rPr>
      </w:pPr>
      <w:r w:rsidRPr="003A15DF">
        <w:rPr>
          <w:rFonts w:ascii="Times New Roman" w:hAnsi="Times New Roman"/>
        </w:rPr>
        <w:t>9.</w:t>
      </w:r>
      <w:r w:rsidRPr="003A15DF">
        <w:rPr>
          <w:rFonts w:ascii="Times New Roman" w:hAnsi="Times New Roman"/>
        </w:rPr>
        <w:tab/>
        <w:t xml:space="preserve">Schwartzkopf-Genswein KS, Faucitano L, Dadgar S, Shand P, González LA, Crowe TG. Road transport of cattle, swine and poultry in North America and its impact on animal welfare, carcass and meat quality: A review. </w:t>
      </w:r>
      <w:r w:rsidRPr="003A15DF">
        <w:rPr>
          <w:rFonts w:ascii="Times New Roman" w:hAnsi="Times New Roman"/>
          <w:i/>
          <w:iCs/>
        </w:rPr>
        <w:t>Meat Sci</w:t>
      </w:r>
      <w:r w:rsidRPr="003A15DF">
        <w:rPr>
          <w:rFonts w:ascii="Times New Roman" w:hAnsi="Times New Roman"/>
        </w:rPr>
        <w:t>. 2012;92(3):227-243. doi:10.1016/j.meatsci.2012.04.010</w:t>
      </w:r>
    </w:p>
    <w:p w14:paraId="0F9F8D6D" w14:textId="77777777" w:rsidR="003A15DF" w:rsidRPr="003A15DF" w:rsidRDefault="003A15DF" w:rsidP="003A15DF">
      <w:pPr>
        <w:pStyle w:val="Bibliography"/>
        <w:rPr>
          <w:rFonts w:ascii="Times New Roman" w:hAnsi="Times New Roman"/>
        </w:rPr>
      </w:pPr>
      <w:r w:rsidRPr="003A15DF">
        <w:rPr>
          <w:rFonts w:ascii="Times New Roman" w:hAnsi="Times New Roman"/>
        </w:rPr>
        <w:t>10.</w:t>
      </w:r>
      <w:r w:rsidRPr="003A15DF">
        <w:rPr>
          <w:rFonts w:ascii="Times New Roman" w:hAnsi="Times New Roman"/>
        </w:rPr>
        <w:tab/>
        <w:t xml:space="preserve">Garcia A, Pirner G, Picinin G, et al. Effect of Provision of Feed and Water during Transport on the Welfare of Weaned Pigs. </w:t>
      </w:r>
      <w:r w:rsidRPr="003A15DF">
        <w:rPr>
          <w:rFonts w:ascii="Times New Roman" w:hAnsi="Times New Roman"/>
          <w:i/>
          <w:iCs/>
        </w:rPr>
        <w:t>Animals</w:t>
      </w:r>
      <w:r w:rsidRPr="003A15DF">
        <w:rPr>
          <w:rFonts w:ascii="Times New Roman" w:hAnsi="Times New Roman"/>
        </w:rPr>
        <w:t>. 2015;5(2):407-425. doi:10.3390/ani5020363</w:t>
      </w:r>
    </w:p>
    <w:p w14:paraId="7701461E" w14:textId="77777777" w:rsidR="003A15DF" w:rsidRPr="003A15DF" w:rsidRDefault="003A15DF" w:rsidP="003A15DF">
      <w:pPr>
        <w:pStyle w:val="Bibliography"/>
        <w:rPr>
          <w:rFonts w:ascii="Times New Roman" w:hAnsi="Times New Roman"/>
        </w:rPr>
      </w:pPr>
      <w:r w:rsidRPr="003A15DF">
        <w:rPr>
          <w:rFonts w:ascii="Times New Roman" w:hAnsi="Times New Roman"/>
        </w:rPr>
        <w:t>11.</w:t>
      </w:r>
      <w:r w:rsidRPr="003A15DF">
        <w:rPr>
          <w:rFonts w:ascii="Times New Roman" w:hAnsi="Times New Roman"/>
        </w:rPr>
        <w:tab/>
        <w:t xml:space="preserve">Rioja-Lang FC, Brown JA, Brockhoff EJ, Faucitano L. A Review of Swine Transportation Research on Priority Welfare Issues: A Canadian Perspective. </w:t>
      </w:r>
      <w:r w:rsidRPr="003A15DF">
        <w:rPr>
          <w:rFonts w:ascii="Times New Roman" w:hAnsi="Times New Roman"/>
          <w:i/>
          <w:iCs/>
        </w:rPr>
        <w:t>Front Vet Sci</w:t>
      </w:r>
      <w:r w:rsidRPr="003A15DF">
        <w:rPr>
          <w:rFonts w:ascii="Times New Roman" w:hAnsi="Times New Roman"/>
        </w:rPr>
        <w:t>. 2019;6:36. doi:10.3389/fvets.2019.00036</w:t>
      </w:r>
    </w:p>
    <w:p w14:paraId="06EBDD98" w14:textId="77777777" w:rsidR="003A15DF" w:rsidRPr="003A15DF" w:rsidRDefault="003A15DF" w:rsidP="003A15DF">
      <w:pPr>
        <w:rPr>
          <w:rFonts w:ascii="Times New Roman" w:hAnsi="Times New Roman"/>
        </w:rPr>
      </w:pPr>
      <w:r w:rsidRPr="003A15DF">
        <w:rPr>
          <w:rFonts w:ascii="Times New Roman" w:hAnsi="Times New Roman"/>
        </w:rPr>
        <w:fldChar w:fldCharType="end"/>
      </w:r>
    </w:p>
    <w:p w14:paraId="06D6B48A" w14:textId="77777777" w:rsidR="003A15DF" w:rsidRDefault="003A15DF" w:rsidP="001E313B"/>
    <w:p w14:paraId="371F07B7" w14:textId="77777777" w:rsidR="003A15DF" w:rsidRDefault="003A15DF" w:rsidP="001E313B"/>
    <w:p w14:paraId="1357F152" w14:textId="56280EC6" w:rsidR="0095554B" w:rsidRDefault="00FB7DC5" w:rsidP="0095554B">
      <w:r>
        <w:t>End of Report – Dr. Liz Cox 10/15/24</w:t>
      </w:r>
    </w:p>
    <w:sectPr w:rsidR="0095554B" w:rsidSect="009A10CD">
      <w:pgSz w:w="12240" w:h="15840" w:code="1"/>
      <w:pgMar w:top="720" w:right="720" w:bottom="72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num w:numId="1" w16cid:durableId="380985066">
    <w:abstractNumId w:val="0"/>
  </w:num>
  <w:num w:numId="2" w16cid:durableId="11411909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mirrorMargins/>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07"/>
    <w:rsid w:val="0002308B"/>
    <w:rsid w:val="00072A07"/>
    <w:rsid w:val="001C330C"/>
    <w:rsid w:val="001E313B"/>
    <w:rsid w:val="002647A2"/>
    <w:rsid w:val="003A15DF"/>
    <w:rsid w:val="00447AF5"/>
    <w:rsid w:val="004A5BA1"/>
    <w:rsid w:val="004F342F"/>
    <w:rsid w:val="005E178D"/>
    <w:rsid w:val="005E4294"/>
    <w:rsid w:val="00650FF6"/>
    <w:rsid w:val="007A2C29"/>
    <w:rsid w:val="00817338"/>
    <w:rsid w:val="008356A6"/>
    <w:rsid w:val="00837C30"/>
    <w:rsid w:val="00847825"/>
    <w:rsid w:val="008F34E8"/>
    <w:rsid w:val="00917B4C"/>
    <w:rsid w:val="0095554B"/>
    <w:rsid w:val="009560EC"/>
    <w:rsid w:val="0099068B"/>
    <w:rsid w:val="009A10CD"/>
    <w:rsid w:val="009B186C"/>
    <w:rsid w:val="009C35EF"/>
    <w:rsid w:val="00A20C34"/>
    <w:rsid w:val="00AB227B"/>
    <w:rsid w:val="00AD5D84"/>
    <w:rsid w:val="00B10D6C"/>
    <w:rsid w:val="00B52222"/>
    <w:rsid w:val="00B54F2C"/>
    <w:rsid w:val="00C559E3"/>
    <w:rsid w:val="00CA1580"/>
    <w:rsid w:val="00CE6768"/>
    <w:rsid w:val="00D201E9"/>
    <w:rsid w:val="00D318B5"/>
    <w:rsid w:val="00D76315"/>
    <w:rsid w:val="00D941E4"/>
    <w:rsid w:val="00E30780"/>
    <w:rsid w:val="00E31942"/>
    <w:rsid w:val="00FB21FF"/>
    <w:rsid w:val="00FB7AB7"/>
    <w:rsid w:val="00FB7DC5"/>
    <w:rsid w:val="00FE1A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845F8"/>
  <w15:chartTrackingRefBased/>
  <w15:docId w15:val="{56AE96B0-7297-42EC-AD53-1F98CD1F31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heme="minorHAnsi" w:hAnsi="Arial" w:cs="Times New Roman"/>
        <w:kern w:val="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068B"/>
  </w:style>
  <w:style w:type="paragraph" w:styleId="Heading1">
    <w:name w:val="heading 1"/>
    <w:aliases w:val="Proc Heading"/>
    <w:basedOn w:val="Normal"/>
    <w:link w:val="Heading1Char"/>
    <w:qFormat/>
    <w:rsid w:val="0099068B"/>
    <w:pPr>
      <w:jc w:val="center"/>
      <w:outlineLvl w:val="0"/>
    </w:pPr>
    <w:rPr>
      <w:rFonts w:eastAsiaTheme="majorEastAsia" w:cstheme="majorBidi"/>
      <w:b/>
      <w:caps/>
    </w:rPr>
  </w:style>
  <w:style w:type="paragraph" w:styleId="Heading2">
    <w:name w:val="heading 2"/>
    <w:basedOn w:val="Normal"/>
    <w:link w:val="Heading2Char"/>
    <w:uiPriority w:val="9"/>
    <w:rsid w:val="0099068B"/>
    <w:pPr>
      <w:shd w:val="clear" w:color="auto" w:fill="FFFFFF"/>
      <w:spacing w:before="100" w:beforeAutospacing="1" w:after="100" w:afterAutospacing="1"/>
      <w:outlineLvl w:val="1"/>
    </w:pPr>
    <w:rPr>
      <w:rFonts w:eastAsia="Times New Roman"/>
      <w:b/>
      <w:bCs/>
      <w:color w:val="FF4500"/>
      <w:sz w:val="17"/>
      <w:szCs w:val="17"/>
    </w:rPr>
  </w:style>
  <w:style w:type="paragraph" w:styleId="Heading3">
    <w:name w:val="heading 3"/>
    <w:basedOn w:val="Normal"/>
    <w:next w:val="Normal"/>
    <w:link w:val="Heading3Char"/>
    <w:semiHidden/>
    <w:unhideWhenUsed/>
    <w:qFormat/>
    <w:rsid w:val="0099068B"/>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semiHidden/>
    <w:unhideWhenUsed/>
    <w:qFormat/>
    <w:rsid w:val="0099068B"/>
    <w:pPr>
      <w:keepNext/>
      <w:spacing w:before="240" w:after="60"/>
      <w:outlineLvl w:val="3"/>
    </w:pPr>
    <w:rPr>
      <w:rFonts w:eastAsia="Times New Roman"/>
      <w:b/>
      <w:bCs/>
      <w:sz w:val="28"/>
      <w:szCs w:val="28"/>
    </w:rPr>
  </w:style>
  <w:style w:type="paragraph" w:styleId="Heading5">
    <w:name w:val="heading 5"/>
    <w:basedOn w:val="Normal"/>
    <w:next w:val="Normal"/>
    <w:link w:val="Heading5Char"/>
    <w:semiHidden/>
    <w:unhideWhenUsed/>
    <w:qFormat/>
    <w:rsid w:val="0099068B"/>
    <w:pPr>
      <w:spacing w:before="240" w:after="60"/>
      <w:outlineLvl w:val="4"/>
    </w:pPr>
    <w:rPr>
      <w:rFonts w:eastAsia="Times New Roman"/>
      <w:b/>
      <w:bCs/>
      <w:i/>
      <w:iCs/>
      <w:sz w:val="26"/>
      <w:szCs w:val="26"/>
    </w:rPr>
  </w:style>
  <w:style w:type="paragraph" w:styleId="Heading6">
    <w:name w:val="heading 6"/>
    <w:basedOn w:val="Normal"/>
    <w:next w:val="Normal"/>
    <w:link w:val="Heading6Char"/>
    <w:semiHidden/>
    <w:unhideWhenUsed/>
    <w:qFormat/>
    <w:rsid w:val="0099068B"/>
    <w:pPr>
      <w:spacing w:before="240" w:after="60"/>
      <w:outlineLvl w:val="5"/>
    </w:pPr>
    <w:rPr>
      <w:rFonts w:eastAsia="Times New Roman"/>
      <w:b/>
      <w:bCs/>
      <w:sz w:val="22"/>
      <w:szCs w:val="22"/>
    </w:rPr>
  </w:style>
  <w:style w:type="paragraph" w:styleId="Heading7">
    <w:name w:val="heading 7"/>
    <w:basedOn w:val="Normal"/>
    <w:next w:val="Normal"/>
    <w:link w:val="Heading7Char"/>
    <w:semiHidden/>
    <w:unhideWhenUsed/>
    <w:qFormat/>
    <w:rsid w:val="0099068B"/>
    <w:pPr>
      <w:spacing w:before="240" w:after="60"/>
      <w:outlineLvl w:val="6"/>
    </w:pPr>
    <w:rPr>
      <w:rFonts w:eastAsia="Times New Roman"/>
      <w:sz w:val="24"/>
    </w:rPr>
  </w:style>
  <w:style w:type="paragraph" w:styleId="Heading8">
    <w:name w:val="heading 8"/>
    <w:basedOn w:val="Normal"/>
    <w:next w:val="Normal"/>
    <w:link w:val="Heading8Char"/>
    <w:semiHidden/>
    <w:unhideWhenUsed/>
    <w:qFormat/>
    <w:rsid w:val="0099068B"/>
    <w:pPr>
      <w:spacing w:before="240" w:after="60"/>
      <w:outlineLvl w:val="7"/>
    </w:pPr>
    <w:rPr>
      <w:rFonts w:eastAsia="Times New Roman"/>
      <w:i/>
      <w:iCs/>
      <w:sz w:val="24"/>
    </w:rPr>
  </w:style>
  <w:style w:type="paragraph" w:styleId="Heading9">
    <w:name w:val="heading 9"/>
    <w:basedOn w:val="Normal"/>
    <w:next w:val="Normal"/>
    <w:link w:val="Heading9Char"/>
    <w:semiHidden/>
    <w:unhideWhenUsed/>
    <w:qFormat/>
    <w:rsid w:val="0099068B"/>
    <w:pPr>
      <w:spacing w:before="240" w:after="60"/>
      <w:outlineLvl w:val="8"/>
    </w:pPr>
    <w:rPr>
      <w:rFonts w:ascii="Cambria" w:eastAsia="Times New Roman"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cBody">
    <w:name w:val="Proc Body"/>
    <w:basedOn w:val="Normal"/>
    <w:link w:val="ProcBodyChar"/>
    <w:qFormat/>
    <w:rsid w:val="0099068B"/>
    <w:pPr>
      <w:ind w:firstLine="360"/>
    </w:pPr>
    <w:rPr>
      <w:rFonts w:eastAsia="Times New Roman"/>
    </w:rPr>
  </w:style>
  <w:style w:type="character" w:customStyle="1" w:styleId="ProcBodyChar">
    <w:name w:val="Proc Body Char"/>
    <w:link w:val="ProcBody"/>
    <w:rsid w:val="0099068B"/>
    <w:rPr>
      <w:rFonts w:ascii="Arial" w:eastAsia="Times New Roman" w:hAnsi="Arial" w:cs="Times New Roman"/>
      <w:sz w:val="20"/>
      <w:szCs w:val="20"/>
    </w:rPr>
  </w:style>
  <w:style w:type="paragraph" w:customStyle="1" w:styleId="ProcBodyHeading">
    <w:name w:val="Proc Body Heading"/>
    <w:basedOn w:val="ProcBody"/>
    <w:link w:val="ProcBodyHeadingChar"/>
    <w:qFormat/>
    <w:rsid w:val="0099068B"/>
    <w:pPr>
      <w:ind w:firstLine="0"/>
    </w:pPr>
    <w:rPr>
      <w:b/>
    </w:rPr>
  </w:style>
  <w:style w:type="character" w:customStyle="1" w:styleId="ProcBodyHeadingChar">
    <w:name w:val="Proc Body Heading Char"/>
    <w:link w:val="ProcBodyHeading"/>
    <w:rsid w:val="0099068B"/>
    <w:rPr>
      <w:rFonts w:ascii="Arial" w:eastAsia="Times New Roman" w:hAnsi="Arial" w:cs="Times New Roman"/>
      <w:b/>
      <w:sz w:val="20"/>
      <w:szCs w:val="20"/>
    </w:rPr>
  </w:style>
  <w:style w:type="paragraph" w:customStyle="1" w:styleId="ProcBullets">
    <w:name w:val="Proc Bullets"/>
    <w:basedOn w:val="Normal"/>
    <w:qFormat/>
    <w:rsid w:val="0099068B"/>
    <w:pPr>
      <w:numPr>
        <w:numId w:val="2"/>
      </w:numPr>
      <w:jc w:val="both"/>
    </w:pPr>
    <w:rPr>
      <w:rFonts w:eastAsia="Times New Roman" w:cs="Arial"/>
      <w:bCs/>
    </w:rPr>
  </w:style>
  <w:style w:type="paragraph" w:customStyle="1" w:styleId="ProcSubHeading">
    <w:name w:val="Proc Sub Heading"/>
    <w:basedOn w:val="Normal"/>
    <w:link w:val="ProcSubHeadingChar"/>
    <w:qFormat/>
    <w:rsid w:val="0099068B"/>
    <w:pPr>
      <w:autoSpaceDE w:val="0"/>
      <w:autoSpaceDN w:val="0"/>
      <w:adjustRightInd w:val="0"/>
      <w:jc w:val="center"/>
    </w:pPr>
    <w:rPr>
      <w:rFonts w:eastAsia="Times New Roman"/>
      <w:szCs w:val="32"/>
    </w:rPr>
  </w:style>
  <w:style w:type="character" w:customStyle="1" w:styleId="ProcSubHeadingChar">
    <w:name w:val="Proc Sub Heading Char"/>
    <w:link w:val="ProcSubHeading"/>
    <w:rsid w:val="0099068B"/>
    <w:rPr>
      <w:rFonts w:ascii="Arial" w:eastAsia="Times New Roman" w:hAnsi="Arial" w:cs="Times New Roman"/>
      <w:sz w:val="20"/>
      <w:szCs w:val="32"/>
    </w:rPr>
  </w:style>
  <w:style w:type="paragraph" w:customStyle="1" w:styleId="ProcMbrlist">
    <w:name w:val="Proc Mbr list"/>
    <w:basedOn w:val="ProcSubHeading"/>
    <w:link w:val="ProcMbrlistChar"/>
    <w:qFormat/>
    <w:rsid w:val="0099068B"/>
    <w:pPr>
      <w:jc w:val="both"/>
    </w:pPr>
  </w:style>
  <w:style w:type="character" w:customStyle="1" w:styleId="ProcMbrlistChar">
    <w:name w:val="Proc Mbr list Char"/>
    <w:link w:val="ProcMbrlist"/>
    <w:rsid w:val="0099068B"/>
    <w:rPr>
      <w:rFonts w:ascii="Arial" w:eastAsia="Times New Roman" w:hAnsi="Arial" w:cs="Times New Roman"/>
      <w:sz w:val="20"/>
      <w:szCs w:val="32"/>
    </w:rPr>
  </w:style>
  <w:style w:type="paragraph" w:customStyle="1" w:styleId="ProcMbrLst">
    <w:name w:val="Proc Mbr Lst"/>
    <w:basedOn w:val="Normal"/>
    <w:qFormat/>
    <w:rsid w:val="0099068B"/>
    <w:pPr>
      <w:jc w:val="both"/>
    </w:pPr>
    <w:rPr>
      <w:rFonts w:eastAsia="Times New Roman"/>
      <w:noProof/>
    </w:rPr>
  </w:style>
  <w:style w:type="paragraph" w:customStyle="1" w:styleId="ProcReferences">
    <w:name w:val="Proc References"/>
    <w:basedOn w:val="ProcBody"/>
    <w:link w:val="ProcReferencesChar"/>
    <w:qFormat/>
    <w:rsid w:val="0099068B"/>
    <w:pPr>
      <w:ind w:left="360" w:hanging="360"/>
    </w:pPr>
  </w:style>
  <w:style w:type="character" w:customStyle="1" w:styleId="ProcReferencesChar">
    <w:name w:val="Proc References Char"/>
    <w:link w:val="ProcReferences"/>
    <w:rsid w:val="0099068B"/>
    <w:rPr>
      <w:rFonts w:ascii="Arial" w:eastAsia="Times New Roman" w:hAnsi="Arial" w:cs="Times New Roman"/>
      <w:sz w:val="20"/>
      <w:szCs w:val="20"/>
    </w:rPr>
  </w:style>
  <w:style w:type="paragraph" w:customStyle="1" w:styleId="ProcSubHead">
    <w:name w:val="Proc Sub Head"/>
    <w:basedOn w:val="Normal"/>
    <w:qFormat/>
    <w:rsid w:val="0099068B"/>
    <w:pPr>
      <w:jc w:val="center"/>
    </w:pPr>
    <w:rPr>
      <w:rFonts w:eastAsia="Times New Roman"/>
    </w:rPr>
  </w:style>
  <w:style w:type="paragraph" w:customStyle="1" w:styleId="ProcHdr">
    <w:name w:val="ProcHdr"/>
    <w:basedOn w:val="Heading1"/>
    <w:link w:val="ProcHdrChar"/>
    <w:qFormat/>
    <w:rsid w:val="0099068B"/>
    <w:pPr>
      <w:keepNext/>
      <w:spacing w:before="240" w:after="60" w:line="276" w:lineRule="auto"/>
      <w:jc w:val="left"/>
    </w:pPr>
    <w:rPr>
      <w:bCs/>
      <w:caps w:val="0"/>
      <w:kern w:val="32"/>
      <w:sz w:val="32"/>
      <w:szCs w:val="32"/>
    </w:rPr>
  </w:style>
  <w:style w:type="character" w:customStyle="1" w:styleId="ProcHdrChar">
    <w:name w:val="ProcHdr Char"/>
    <w:basedOn w:val="DefaultParagraphFont"/>
    <w:link w:val="ProcHdr"/>
    <w:rsid w:val="0099068B"/>
    <w:rPr>
      <w:rFonts w:ascii="Arial" w:eastAsiaTheme="majorEastAsia" w:hAnsi="Arial" w:cstheme="majorBidi"/>
      <w:b/>
      <w:bCs/>
      <w:kern w:val="32"/>
      <w:sz w:val="32"/>
      <w:szCs w:val="32"/>
    </w:rPr>
  </w:style>
  <w:style w:type="character" w:customStyle="1" w:styleId="Heading1Char">
    <w:name w:val="Heading 1 Char"/>
    <w:aliases w:val="Proc Heading Char"/>
    <w:link w:val="Heading1"/>
    <w:rsid w:val="0099068B"/>
    <w:rPr>
      <w:rFonts w:ascii="Arial" w:eastAsiaTheme="majorEastAsia" w:hAnsi="Arial" w:cstheme="majorBidi"/>
      <w:b/>
      <w:caps/>
      <w:sz w:val="20"/>
      <w:szCs w:val="20"/>
    </w:rPr>
  </w:style>
  <w:style w:type="paragraph" w:customStyle="1" w:styleId="ResHdr">
    <w:name w:val="ResHdr"/>
    <w:basedOn w:val="Normal"/>
    <w:link w:val="ResHdrChar"/>
    <w:autoRedefine/>
    <w:qFormat/>
    <w:rsid w:val="0099068B"/>
    <w:pPr>
      <w:widowControl w:val="0"/>
    </w:pPr>
    <w:rPr>
      <w:b/>
      <w:caps/>
    </w:rPr>
  </w:style>
  <w:style w:type="character" w:customStyle="1" w:styleId="ResHdrChar">
    <w:name w:val="ResHdr Char"/>
    <w:basedOn w:val="DefaultParagraphFont"/>
    <w:link w:val="ResHdr"/>
    <w:rsid w:val="0099068B"/>
    <w:rPr>
      <w:rFonts w:ascii="Arial" w:hAnsi="Arial"/>
      <w:b/>
      <w:caps/>
      <w:sz w:val="20"/>
      <w:szCs w:val="20"/>
    </w:rPr>
  </w:style>
  <w:style w:type="paragraph" w:customStyle="1" w:styleId="Style1">
    <w:name w:val="Style1"/>
    <w:basedOn w:val="ListParagraph"/>
    <w:qFormat/>
    <w:rsid w:val="0099068B"/>
    <w:pPr>
      <w:ind w:hanging="360"/>
      <w:jc w:val="both"/>
    </w:pPr>
    <w:rPr>
      <w:rFonts w:eastAsia="Times New Roman" w:cs="Arial"/>
    </w:rPr>
  </w:style>
  <w:style w:type="paragraph" w:styleId="ListParagraph">
    <w:name w:val="List Paragraph"/>
    <w:basedOn w:val="Normal"/>
    <w:uiPriority w:val="34"/>
    <w:qFormat/>
    <w:rsid w:val="0099068B"/>
    <w:pPr>
      <w:ind w:left="720"/>
    </w:pPr>
  </w:style>
  <w:style w:type="paragraph" w:customStyle="1" w:styleId="Default">
    <w:name w:val="Default"/>
    <w:rsid w:val="0099068B"/>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99068B"/>
    <w:pPr>
      <w:widowControl w:val="0"/>
    </w:pPr>
    <w:rPr>
      <w:rFonts w:eastAsiaTheme="minorEastAsia"/>
      <w:color w:val="auto"/>
    </w:rPr>
  </w:style>
  <w:style w:type="paragraph" w:customStyle="1" w:styleId="yiv6955135338msonormal">
    <w:name w:val="yiv6955135338msonormal"/>
    <w:basedOn w:val="Normal"/>
    <w:rsid w:val="0099068B"/>
    <w:pPr>
      <w:spacing w:before="100" w:beforeAutospacing="1" w:after="100" w:afterAutospacing="1"/>
    </w:pPr>
    <w:rPr>
      <w:rFonts w:ascii="Times New Roman" w:eastAsia="Times New Roman" w:hAnsi="Times New Roman"/>
      <w:sz w:val="24"/>
    </w:rPr>
  </w:style>
  <w:style w:type="paragraph" w:customStyle="1" w:styleId="yiv3910526817msonormal">
    <w:name w:val="yiv3910526817msonormal"/>
    <w:basedOn w:val="Normal"/>
    <w:rsid w:val="0099068B"/>
    <w:pPr>
      <w:spacing w:before="100" w:beforeAutospacing="1" w:after="100" w:afterAutospacing="1"/>
    </w:pPr>
    <w:rPr>
      <w:rFonts w:ascii="Times New Roman" w:eastAsia="Times New Roman" w:hAnsi="Times New Roman"/>
      <w:sz w:val="24"/>
    </w:rPr>
  </w:style>
  <w:style w:type="character" w:customStyle="1" w:styleId="Heading2Char">
    <w:name w:val="Heading 2 Char"/>
    <w:link w:val="Heading2"/>
    <w:uiPriority w:val="9"/>
    <w:rsid w:val="0099068B"/>
    <w:rPr>
      <w:rFonts w:ascii="Arial" w:eastAsia="Times New Roman" w:hAnsi="Arial" w:cs="Times New Roman"/>
      <w:b/>
      <w:bCs/>
      <w:color w:val="FF4500"/>
      <w:sz w:val="17"/>
      <w:szCs w:val="17"/>
      <w:shd w:val="clear" w:color="auto" w:fill="FFFFFF"/>
    </w:rPr>
  </w:style>
  <w:style w:type="character" w:customStyle="1" w:styleId="Heading3Char">
    <w:name w:val="Heading 3 Char"/>
    <w:link w:val="Heading3"/>
    <w:semiHidden/>
    <w:rsid w:val="0099068B"/>
    <w:rPr>
      <w:rFonts w:ascii="Cambria" w:eastAsia="Times New Roman" w:hAnsi="Cambria" w:cs="Times New Roman"/>
      <w:b/>
      <w:bCs/>
      <w:sz w:val="26"/>
      <w:szCs w:val="26"/>
    </w:rPr>
  </w:style>
  <w:style w:type="character" w:customStyle="1" w:styleId="Heading4Char">
    <w:name w:val="Heading 4 Char"/>
    <w:link w:val="Heading4"/>
    <w:semiHidden/>
    <w:rsid w:val="0099068B"/>
    <w:rPr>
      <w:rFonts w:ascii="Arial" w:eastAsia="Times New Roman" w:hAnsi="Arial" w:cs="Times New Roman"/>
      <w:b/>
      <w:bCs/>
      <w:sz w:val="28"/>
      <w:szCs w:val="28"/>
    </w:rPr>
  </w:style>
  <w:style w:type="character" w:customStyle="1" w:styleId="Heading5Char">
    <w:name w:val="Heading 5 Char"/>
    <w:link w:val="Heading5"/>
    <w:semiHidden/>
    <w:rsid w:val="0099068B"/>
    <w:rPr>
      <w:rFonts w:ascii="Arial" w:eastAsia="Times New Roman" w:hAnsi="Arial" w:cs="Times New Roman"/>
      <w:b/>
      <w:bCs/>
      <w:i/>
      <w:iCs/>
      <w:sz w:val="26"/>
      <w:szCs w:val="26"/>
    </w:rPr>
  </w:style>
  <w:style w:type="character" w:customStyle="1" w:styleId="Heading6Char">
    <w:name w:val="Heading 6 Char"/>
    <w:link w:val="Heading6"/>
    <w:semiHidden/>
    <w:rsid w:val="0099068B"/>
    <w:rPr>
      <w:rFonts w:ascii="Arial" w:eastAsia="Times New Roman" w:hAnsi="Arial" w:cs="Times New Roman"/>
      <w:b/>
      <w:bCs/>
    </w:rPr>
  </w:style>
  <w:style w:type="character" w:customStyle="1" w:styleId="Heading7Char">
    <w:name w:val="Heading 7 Char"/>
    <w:link w:val="Heading7"/>
    <w:semiHidden/>
    <w:rsid w:val="0099068B"/>
    <w:rPr>
      <w:rFonts w:ascii="Arial" w:eastAsia="Times New Roman" w:hAnsi="Arial" w:cs="Times New Roman"/>
      <w:sz w:val="24"/>
      <w:szCs w:val="20"/>
    </w:rPr>
  </w:style>
  <w:style w:type="character" w:customStyle="1" w:styleId="Heading8Char">
    <w:name w:val="Heading 8 Char"/>
    <w:link w:val="Heading8"/>
    <w:semiHidden/>
    <w:rsid w:val="0099068B"/>
    <w:rPr>
      <w:rFonts w:ascii="Arial" w:eastAsia="Times New Roman" w:hAnsi="Arial" w:cs="Times New Roman"/>
      <w:i/>
      <w:iCs/>
      <w:sz w:val="24"/>
      <w:szCs w:val="20"/>
    </w:rPr>
  </w:style>
  <w:style w:type="character" w:customStyle="1" w:styleId="Heading9Char">
    <w:name w:val="Heading 9 Char"/>
    <w:link w:val="Heading9"/>
    <w:semiHidden/>
    <w:rsid w:val="0099068B"/>
    <w:rPr>
      <w:rFonts w:ascii="Cambria" w:eastAsia="Times New Roman" w:hAnsi="Cambria" w:cs="Times New Roman"/>
    </w:rPr>
  </w:style>
  <w:style w:type="paragraph" w:styleId="Header">
    <w:name w:val="header"/>
    <w:basedOn w:val="Normal"/>
    <w:link w:val="HeaderChar"/>
    <w:uiPriority w:val="99"/>
    <w:rsid w:val="0099068B"/>
    <w:pPr>
      <w:tabs>
        <w:tab w:val="center" w:pos="4680"/>
        <w:tab w:val="right" w:pos="9360"/>
      </w:tabs>
    </w:pPr>
    <w:rPr>
      <w:rFonts w:eastAsia="Times New Roman"/>
    </w:rPr>
  </w:style>
  <w:style w:type="character" w:customStyle="1" w:styleId="HeaderChar">
    <w:name w:val="Header Char"/>
    <w:link w:val="Header"/>
    <w:uiPriority w:val="99"/>
    <w:rsid w:val="0099068B"/>
    <w:rPr>
      <w:rFonts w:ascii="Arial" w:eastAsia="Times New Roman" w:hAnsi="Arial" w:cs="Times New Roman"/>
      <w:sz w:val="20"/>
      <w:szCs w:val="20"/>
    </w:rPr>
  </w:style>
  <w:style w:type="paragraph" w:styleId="Footer">
    <w:name w:val="footer"/>
    <w:basedOn w:val="Normal"/>
    <w:link w:val="FooterChar"/>
    <w:uiPriority w:val="99"/>
    <w:unhideWhenUsed/>
    <w:rsid w:val="0099068B"/>
    <w:pPr>
      <w:tabs>
        <w:tab w:val="center" w:pos="4680"/>
        <w:tab w:val="right" w:pos="9360"/>
      </w:tabs>
    </w:pPr>
    <w:rPr>
      <w:rFonts w:eastAsia="Times New Roman"/>
    </w:rPr>
  </w:style>
  <w:style w:type="character" w:customStyle="1" w:styleId="FooterChar">
    <w:name w:val="Footer Char"/>
    <w:link w:val="Footer"/>
    <w:uiPriority w:val="99"/>
    <w:rsid w:val="0099068B"/>
    <w:rPr>
      <w:rFonts w:ascii="Arial" w:eastAsia="Times New Roman" w:hAnsi="Arial" w:cs="Times New Roman"/>
      <w:sz w:val="20"/>
      <w:szCs w:val="20"/>
    </w:rPr>
  </w:style>
  <w:style w:type="paragraph" w:styleId="EnvelopeAddress">
    <w:name w:val="envelope address"/>
    <w:basedOn w:val="Normal"/>
    <w:uiPriority w:val="99"/>
    <w:semiHidden/>
    <w:unhideWhenUsed/>
    <w:rsid w:val="0099068B"/>
    <w:pPr>
      <w:framePr w:w="7920" w:h="1980" w:hRule="exact" w:hSpace="180" w:wrap="auto" w:hAnchor="page" w:xAlign="center" w:yAlign="bottom"/>
      <w:ind w:left="2880"/>
    </w:pPr>
    <w:rPr>
      <w:rFonts w:eastAsiaTheme="majorEastAsia" w:cstheme="majorBidi"/>
      <w:sz w:val="24"/>
      <w:szCs w:val="24"/>
    </w:rPr>
  </w:style>
  <w:style w:type="paragraph" w:styleId="BodyText">
    <w:name w:val="Body Text"/>
    <w:basedOn w:val="Normal"/>
    <w:link w:val="BodyTextChar"/>
    <w:rsid w:val="0099068B"/>
    <w:pPr>
      <w:tabs>
        <w:tab w:val="center" w:pos="4680"/>
      </w:tabs>
      <w:suppressAutoHyphens/>
    </w:pPr>
    <w:rPr>
      <w:rFonts w:eastAsia="Times New Roman"/>
      <w:b/>
      <w:spacing w:val="-3"/>
      <w:sz w:val="30"/>
    </w:rPr>
  </w:style>
  <w:style w:type="character" w:customStyle="1" w:styleId="BodyTextChar">
    <w:name w:val="Body Text Char"/>
    <w:link w:val="BodyText"/>
    <w:rsid w:val="0099068B"/>
    <w:rPr>
      <w:rFonts w:ascii="Arial" w:eastAsia="Times New Roman" w:hAnsi="Arial" w:cs="Times New Roman"/>
      <w:b/>
      <w:spacing w:val="-3"/>
      <w:sz w:val="30"/>
      <w:szCs w:val="20"/>
    </w:rPr>
  </w:style>
  <w:style w:type="paragraph" w:styleId="BodyTextIndent2">
    <w:name w:val="Body Text Indent 2"/>
    <w:basedOn w:val="Normal"/>
    <w:link w:val="BodyTextIndent2Char"/>
    <w:semiHidden/>
    <w:unhideWhenUsed/>
    <w:rsid w:val="0099068B"/>
    <w:pPr>
      <w:spacing w:after="120" w:line="480" w:lineRule="auto"/>
      <w:ind w:left="360"/>
    </w:pPr>
    <w:rPr>
      <w:rFonts w:eastAsia="Times New Roman"/>
    </w:rPr>
  </w:style>
  <w:style w:type="character" w:customStyle="1" w:styleId="BodyTextIndent2Char">
    <w:name w:val="Body Text Indent 2 Char"/>
    <w:link w:val="BodyTextIndent2"/>
    <w:semiHidden/>
    <w:rsid w:val="0099068B"/>
    <w:rPr>
      <w:rFonts w:ascii="Arial" w:eastAsia="Times New Roman" w:hAnsi="Arial" w:cs="Times New Roman"/>
      <w:sz w:val="20"/>
      <w:szCs w:val="20"/>
    </w:rPr>
  </w:style>
  <w:style w:type="character" w:styleId="Hyperlink">
    <w:name w:val="Hyperlink"/>
    <w:uiPriority w:val="99"/>
    <w:unhideWhenUsed/>
    <w:rsid w:val="0099068B"/>
    <w:rPr>
      <w:color w:val="0000FF"/>
      <w:u w:val="single"/>
    </w:rPr>
  </w:style>
  <w:style w:type="character" w:styleId="Strong">
    <w:name w:val="Strong"/>
    <w:uiPriority w:val="22"/>
    <w:qFormat/>
    <w:rsid w:val="0099068B"/>
    <w:rPr>
      <w:b/>
      <w:bCs/>
    </w:rPr>
  </w:style>
  <w:style w:type="character" w:styleId="Emphasis">
    <w:name w:val="Emphasis"/>
    <w:uiPriority w:val="20"/>
    <w:qFormat/>
    <w:rsid w:val="0099068B"/>
    <w:rPr>
      <w:i/>
      <w:iCs/>
    </w:rPr>
  </w:style>
  <w:style w:type="paragraph" w:styleId="BalloonText">
    <w:name w:val="Balloon Text"/>
    <w:basedOn w:val="Normal"/>
    <w:link w:val="BalloonTextChar"/>
    <w:uiPriority w:val="99"/>
    <w:semiHidden/>
    <w:unhideWhenUsed/>
    <w:rsid w:val="0099068B"/>
    <w:rPr>
      <w:rFonts w:ascii="Tahoma" w:eastAsia="Times New Roman" w:hAnsi="Tahoma"/>
      <w:sz w:val="16"/>
      <w:szCs w:val="16"/>
    </w:rPr>
  </w:style>
  <w:style w:type="character" w:customStyle="1" w:styleId="BalloonTextChar">
    <w:name w:val="Balloon Text Char"/>
    <w:link w:val="BalloonText"/>
    <w:uiPriority w:val="99"/>
    <w:semiHidden/>
    <w:rsid w:val="0099068B"/>
    <w:rPr>
      <w:rFonts w:ascii="Tahoma" w:eastAsia="Times New Roman" w:hAnsi="Tahoma" w:cs="Times New Roman"/>
      <w:sz w:val="16"/>
      <w:szCs w:val="16"/>
    </w:rPr>
  </w:style>
  <w:style w:type="paragraph" w:styleId="NoSpacing">
    <w:name w:val="No Spacing"/>
    <w:uiPriority w:val="1"/>
    <w:qFormat/>
    <w:rsid w:val="0099068B"/>
    <w:pPr>
      <w:ind w:firstLine="360"/>
    </w:pPr>
    <w:rPr>
      <w:rFonts w:ascii="Book Antiqua" w:eastAsia="Calibri" w:hAnsi="Book Antiqua"/>
    </w:rPr>
  </w:style>
  <w:style w:type="paragraph" w:styleId="NormalWeb">
    <w:name w:val="Normal (Web)"/>
    <w:basedOn w:val="Normal"/>
    <w:uiPriority w:val="99"/>
    <w:semiHidden/>
    <w:unhideWhenUsed/>
    <w:rsid w:val="00B52222"/>
    <w:pPr>
      <w:spacing w:before="100" w:beforeAutospacing="1" w:after="100" w:afterAutospacing="1"/>
    </w:pPr>
    <w:rPr>
      <w:rFonts w:ascii="Times New Roman" w:eastAsia="Times New Roman" w:hAnsi="Times New Roman"/>
      <w:kern w:val="0"/>
      <w:sz w:val="24"/>
      <w:szCs w:val="24"/>
      <w14:ligatures w14:val="none"/>
    </w:rPr>
  </w:style>
  <w:style w:type="paragraph" w:styleId="Bibliography">
    <w:name w:val="Bibliography"/>
    <w:basedOn w:val="Normal"/>
    <w:next w:val="Normal"/>
    <w:uiPriority w:val="37"/>
    <w:semiHidden/>
    <w:unhideWhenUsed/>
    <w:rsid w:val="003A15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8048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048E9D-97B8-4762-B9AB-945B5FE7F8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5555</Words>
  <Characters>31667</Characters>
  <Application>Microsoft Office Word</Application>
  <DocSecurity>0</DocSecurity>
  <Lines>263</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KLJ</dc:creator>
  <cp:keywords/>
  <dc:description/>
  <cp:lastModifiedBy>USAHA Guest</cp:lastModifiedBy>
  <cp:revision>2</cp:revision>
  <cp:lastPrinted>2024-10-15T23:08:00Z</cp:lastPrinted>
  <dcterms:created xsi:type="dcterms:W3CDTF">2024-10-15T23:09:00Z</dcterms:created>
  <dcterms:modified xsi:type="dcterms:W3CDTF">2024-10-15T23:09:00Z</dcterms:modified>
</cp:coreProperties>
</file>