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19C49E10" w:rsidR="008356A6" w:rsidRDefault="00072A07" w:rsidP="00072A07">
      <w:pPr>
        <w:pStyle w:val="Heading1"/>
      </w:pPr>
      <w:r>
        <w:t xml:space="preserve">COMMITTEE ON </w:t>
      </w:r>
      <w:r w:rsidR="00B52222">
        <w:t>animal WelFare</w:t>
      </w:r>
    </w:p>
    <w:p w14:paraId="082CFC8C" w14:textId="424B4689" w:rsidR="00072A07" w:rsidRDefault="00072A07" w:rsidP="00072A07">
      <w:pPr>
        <w:jc w:val="center"/>
      </w:pPr>
      <w:r>
        <w:t>Chair:</w:t>
      </w:r>
      <w:r w:rsidR="00B52222">
        <w:t xml:space="preserve"> Dr. Liz Cox</w:t>
      </w:r>
    </w:p>
    <w:p w14:paraId="0AAF48FD" w14:textId="4C47F6B2" w:rsidR="00072A07" w:rsidRDefault="00072A07" w:rsidP="00072A07">
      <w:pPr>
        <w:jc w:val="center"/>
      </w:pPr>
      <w:r>
        <w:t>Vice Chair:</w:t>
      </w:r>
      <w:r w:rsidR="00B52222">
        <w:t xml:space="preserve"> Dr. </w:t>
      </w:r>
      <w:r w:rsidR="00290C71">
        <w:t>Molly Parker</w:t>
      </w:r>
      <w:r w:rsidR="004A311E">
        <w:t xml:space="preserve"> (not present at meeting) </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41893773" w:rsidR="0095554B" w:rsidRDefault="0095554B" w:rsidP="0095554B">
      <w:pPr>
        <w:ind w:firstLine="360"/>
      </w:pPr>
      <w:r>
        <w:t xml:space="preserve">The Committee met during the </w:t>
      </w:r>
      <w:r w:rsidR="00B52222">
        <w:t>202</w:t>
      </w:r>
      <w:r w:rsidR="00290C71">
        <w:t>5</w:t>
      </w:r>
      <w:r>
        <w:t xml:space="preserve"> Annual Meeting in</w:t>
      </w:r>
      <w:r w:rsidR="006B7708">
        <w:t xml:space="preserve"> Aurora</w:t>
      </w:r>
      <w:r w:rsidR="00B52222">
        <w:t xml:space="preserve">, </w:t>
      </w:r>
      <w:r w:rsidR="00290C71">
        <w:t>CO</w:t>
      </w:r>
      <w:r>
        <w:t xml:space="preserve"> on </w:t>
      </w:r>
      <w:r w:rsidR="00290C71">
        <w:t>November 4</w:t>
      </w:r>
      <w:r>
        <w:t>. There were [X] members and [X] guests in attendan</w:t>
      </w:r>
      <w:r w:rsidR="006B7708">
        <w:t>ce.</w:t>
      </w:r>
    </w:p>
    <w:p w14:paraId="22AF8967" w14:textId="5429A749" w:rsidR="0095554B" w:rsidRDefault="0095554B" w:rsidP="00C559E3">
      <w:r>
        <w:t xml:space="preserve"> </w:t>
      </w:r>
    </w:p>
    <w:p w14:paraId="288027D8" w14:textId="77777777" w:rsidR="0095554B" w:rsidRDefault="0095554B" w:rsidP="0095554B">
      <w:pPr>
        <w:ind w:firstLine="360"/>
      </w:pPr>
    </w:p>
    <w:p w14:paraId="2EE4518D" w14:textId="30BC65D2" w:rsidR="0095554B" w:rsidRDefault="0095554B" w:rsidP="0095554B">
      <w:r>
        <w:rPr>
          <w:b/>
          <w:bCs/>
        </w:rPr>
        <w:t xml:space="preserve">Presentations &amp; Reports </w:t>
      </w:r>
    </w:p>
    <w:p w14:paraId="416416B9" w14:textId="77777777" w:rsidR="00B52222" w:rsidRDefault="00B52222" w:rsidP="0095554B"/>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10"/>
        <w:gridCol w:w="4618"/>
        <w:gridCol w:w="3122"/>
      </w:tblGrid>
      <w:tr w:rsidR="007C4B2D" w:rsidRPr="00EC6FC5" w14:paraId="00F3A882" w14:textId="77777777" w:rsidTr="00D7612B">
        <w:tc>
          <w:tcPr>
            <w:tcW w:w="1610" w:type="dxa"/>
          </w:tcPr>
          <w:p w14:paraId="19429CC9" w14:textId="77777777" w:rsidR="007C4B2D" w:rsidRPr="00EC6FC5" w:rsidRDefault="007C4B2D" w:rsidP="00D7612B">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sidRPr="00EC6FC5">
              <w:rPr>
                <w:b/>
              </w:rPr>
              <w:t>Time</w:t>
            </w:r>
          </w:p>
        </w:tc>
        <w:tc>
          <w:tcPr>
            <w:tcW w:w="4618" w:type="dxa"/>
          </w:tcPr>
          <w:p w14:paraId="2B85926E" w14:textId="77777777" w:rsidR="007C4B2D" w:rsidRPr="00EC6FC5" w:rsidRDefault="007C4B2D" w:rsidP="00D7612B">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sidRPr="00EC6FC5">
              <w:rPr>
                <w:b/>
              </w:rPr>
              <w:t>Topic/Title</w:t>
            </w:r>
          </w:p>
        </w:tc>
        <w:tc>
          <w:tcPr>
            <w:tcW w:w="3122" w:type="dxa"/>
          </w:tcPr>
          <w:p w14:paraId="3E4F3D69" w14:textId="77777777" w:rsidR="007C4B2D" w:rsidRPr="00EC6FC5" w:rsidRDefault="007C4B2D" w:rsidP="00D7612B">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sidRPr="00EC6FC5">
              <w:rPr>
                <w:b/>
              </w:rPr>
              <w:t>Presenter(s)</w:t>
            </w:r>
          </w:p>
        </w:tc>
      </w:tr>
      <w:tr w:rsidR="007C4B2D" w:rsidRPr="00EC6FC5" w14:paraId="1E8722B3" w14:textId="77777777" w:rsidTr="00D7612B">
        <w:trPr>
          <w:trHeight w:val="341"/>
        </w:trPr>
        <w:tc>
          <w:tcPr>
            <w:tcW w:w="1610" w:type="dxa"/>
          </w:tcPr>
          <w:p w14:paraId="1E944205" w14:textId="77777777" w:rsidR="007C4B2D" w:rsidRDefault="007C4B2D" w:rsidP="00D7612B">
            <w:r>
              <w:t>3:15-3:30pm</w:t>
            </w:r>
          </w:p>
          <w:p w14:paraId="38B57589" w14:textId="77777777" w:rsidR="007C4B2D" w:rsidRDefault="007C4B2D" w:rsidP="00D7612B"/>
          <w:p w14:paraId="246AE532" w14:textId="77777777" w:rsidR="007C4B2D" w:rsidRDefault="007C4B2D" w:rsidP="00D7612B">
            <w:r>
              <w:t>(15 minutes)</w:t>
            </w:r>
          </w:p>
        </w:tc>
        <w:tc>
          <w:tcPr>
            <w:tcW w:w="4618" w:type="dxa"/>
          </w:tcPr>
          <w:p w14:paraId="33E777D8" w14:textId="77777777" w:rsidR="007C4B2D" w:rsidRDefault="007C4B2D" w:rsidP="00D7612B">
            <w:r>
              <w:t xml:space="preserve">Proposed Resolution - </w:t>
            </w:r>
            <w:r w:rsidRPr="002323D4">
              <w:t>Accessibility of Nitrogen-Based Mass Depopulation Methods for Response to Highly Pathogenic Avian Influenza</w:t>
            </w:r>
          </w:p>
        </w:tc>
        <w:tc>
          <w:tcPr>
            <w:tcW w:w="3122" w:type="dxa"/>
          </w:tcPr>
          <w:p w14:paraId="51ED7AA6" w14:textId="77777777" w:rsidR="007C4B2D" w:rsidRDefault="007C4B2D" w:rsidP="00D7612B">
            <w:r>
              <w:t xml:space="preserve">Dr. Don Hoenig, </w:t>
            </w:r>
            <w:r w:rsidRPr="00BB6588">
              <w:t>MIM Veterinary Consulting</w:t>
            </w:r>
          </w:p>
        </w:tc>
      </w:tr>
      <w:tr w:rsidR="007C4B2D" w:rsidRPr="00EC6FC5" w14:paraId="72F0A835" w14:textId="77777777" w:rsidTr="00D7612B">
        <w:trPr>
          <w:trHeight w:val="341"/>
        </w:trPr>
        <w:tc>
          <w:tcPr>
            <w:tcW w:w="1610" w:type="dxa"/>
          </w:tcPr>
          <w:p w14:paraId="414AF230" w14:textId="77777777" w:rsidR="007C4B2D" w:rsidRDefault="007C4B2D" w:rsidP="00D7612B">
            <w:r>
              <w:t>3:30-3:50pm</w:t>
            </w:r>
          </w:p>
          <w:p w14:paraId="7339E803" w14:textId="77777777" w:rsidR="007C4B2D" w:rsidRDefault="007C4B2D" w:rsidP="00D7612B"/>
          <w:p w14:paraId="0F86AD5C" w14:textId="77777777" w:rsidR="007C4B2D" w:rsidRPr="00EC6FC5" w:rsidRDefault="007C4B2D" w:rsidP="00D7612B">
            <w:r>
              <w:t>(20 minutes)</w:t>
            </w:r>
          </w:p>
        </w:tc>
        <w:tc>
          <w:tcPr>
            <w:tcW w:w="4618" w:type="dxa"/>
          </w:tcPr>
          <w:p w14:paraId="3CB5560C" w14:textId="77777777" w:rsidR="007C4B2D" w:rsidRDefault="007C4B2D" w:rsidP="00D7612B">
            <w:r>
              <w:t>NADPRP High Expansion Nitrogen Foam update from California</w:t>
            </w:r>
          </w:p>
          <w:p w14:paraId="13B2E9F9" w14:textId="77777777" w:rsidR="007C4B2D" w:rsidRPr="00EC6FC5" w:rsidRDefault="007C4B2D" w:rsidP="00D7612B"/>
        </w:tc>
        <w:tc>
          <w:tcPr>
            <w:tcW w:w="3122" w:type="dxa"/>
          </w:tcPr>
          <w:p w14:paraId="51C6A03E" w14:textId="77777777" w:rsidR="007C4B2D" w:rsidRDefault="007C4B2D" w:rsidP="00D7612B">
            <w:r>
              <w:t>Dr. Liz Cox, California Department of Food and Agriculture</w:t>
            </w:r>
          </w:p>
          <w:p w14:paraId="4BFE397F" w14:textId="77777777" w:rsidR="007C4B2D" w:rsidRPr="00EC6FC5" w:rsidRDefault="007C4B2D" w:rsidP="00D7612B">
            <w:r>
              <w:t xml:space="preserve">Dan </w:t>
            </w:r>
            <w:r w:rsidRPr="00BD7200">
              <w:t>Hougentogler</w:t>
            </w:r>
            <w:r>
              <w:t>, AES Inc</w:t>
            </w:r>
          </w:p>
        </w:tc>
      </w:tr>
      <w:tr w:rsidR="007C4B2D" w:rsidRPr="00EC6FC5" w14:paraId="1C838A30" w14:textId="77777777" w:rsidTr="00D7612B">
        <w:tc>
          <w:tcPr>
            <w:tcW w:w="1610" w:type="dxa"/>
          </w:tcPr>
          <w:p w14:paraId="1571E8C0" w14:textId="77777777" w:rsidR="007C4B2D" w:rsidRDefault="007C4B2D" w:rsidP="00D7612B">
            <w:r>
              <w:t>3:50-4:10pm</w:t>
            </w:r>
          </w:p>
          <w:p w14:paraId="4DFACC04" w14:textId="77777777" w:rsidR="007C4B2D" w:rsidRPr="00EC6FC5" w:rsidRDefault="007C4B2D" w:rsidP="00D7612B">
            <w:r>
              <w:t>(20 minutes)</w:t>
            </w:r>
          </w:p>
        </w:tc>
        <w:tc>
          <w:tcPr>
            <w:tcW w:w="4618" w:type="dxa"/>
          </w:tcPr>
          <w:p w14:paraId="29718D1F" w14:textId="77777777" w:rsidR="007C4B2D" w:rsidRPr="00EC6FC5" w:rsidRDefault="007C4B2D" w:rsidP="00D7612B">
            <w:r>
              <w:t>Nitrogen Whole House Gas Depopulation</w:t>
            </w:r>
          </w:p>
        </w:tc>
        <w:tc>
          <w:tcPr>
            <w:tcW w:w="3122" w:type="dxa"/>
          </w:tcPr>
          <w:p w14:paraId="043FA5AC" w14:textId="77777777" w:rsidR="007C4B2D" w:rsidRDefault="007C4B2D" w:rsidP="00D7612B">
            <w:r>
              <w:t>Jeff Hill, Livestock Welfare Strategies</w:t>
            </w:r>
          </w:p>
          <w:p w14:paraId="18C36EEF" w14:textId="77777777" w:rsidR="007C4B2D" w:rsidRPr="00EC6FC5" w:rsidRDefault="007C4B2D" w:rsidP="00D7612B"/>
        </w:tc>
      </w:tr>
      <w:tr w:rsidR="007C4B2D" w:rsidRPr="00EC6FC5" w14:paraId="1E84FACA" w14:textId="77777777" w:rsidTr="00D7612B">
        <w:tc>
          <w:tcPr>
            <w:tcW w:w="1610" w:type="dxa"/>
            <w:tcBorders>
              <w:bottom w:val="single" w:sz="4" w:space="0" w:color="auto"/>
            </w:tcBorders>
          </w:tcPr>
          <w:p w14:paraId="7D591239" w14:textId="77777777" w:rsidR="007C4B2D" w:rsidRDefault="007C4B2D" w:rsidP="00D7612B">
            <w:r>
              <w:t xml:space="preserve"> 4:10-4:30pm</w:t>
            </w:r>
          </w:p>
          <w:p w14:paraId="5D1D1D26" w14:textId="77777777" w:rsidR="007C4B2D" w:rsidRPr="00EC6FC5" w:rsidRDefault="007C4B2D" w:rsidP="00D7612B">
            <w:r>
              <w:t xml:space="preserve">(20 minutes) </w:t>
            </w:r>
          </w:p>
        </w:tc>
        <w:tc>
          <w:tcPr>
            <w:tcW w:w="4618" w:type="dxa"/>
            <w:tcBorders>
              <w:bottom w:val="single" w:sz="4" w:space="0" w:color="auto"/>
            </w:tcBorders>
          </w:tcPr>
          <w:p w14:paraId="40F4322A" w14:textId="77777777" w:rsidR="007C4B2D" w:rsidRPr="00EC6FC5" w:rsidRDefault="007C4B2D" w:rsidP="00D7612B">
            <w:r w:rsidRPr="00AB318E">
              <w:t>A Swine Veterinarian’s Perspective on Sow Housing Regulations</w:t>
            </w:r>
          </w:p>
        </w:tc>
        <w:tc>
          <w:tcPr>
            <w:tcW w:w="3122" w:type="dxa"/>
          </w:tcPr>
          <w:p w14:paraId="73355CA8" w14:textId="77777777" w:rsidR="007C4B2D" w:rsidRDefault="007C4B2D" w:rsidP="00D7612B">
            <w:r>
              <w:t>Dr. Clayton Johnson, Carthage Veterinary Services</w:t>
            </w:r>
          </w:p>
          <w:p w14:paraId="61308C58" w14:textId="77777777" w:rsidR="007C4B2D" w:rsidRPr="00EC6FC5" w:rsidRDefault="007C4B2D" w:rsidP="00D7612B"/>
        </w:tc>
      </w:tr>
      <w:tr w:rsidR="007C4B2D" w:rsidRPr="00EC6FC5" w14:paraId="16FA5157" w14:textId="77777777" w:rsidTr="00D7612B">
        <w:tc>
          <w:tcPr>
            <w:tcW w:w="1610" w:type="dxa"/>
            <w:tcBorders>
              <w:top w:val="single" w:sz="4" w:space="0" w:color="auto"/>
              <w:left w:val="single" w:sz="4" w:space="0" w:color="auto"/>
              <w:bottom w:val="single" w:sz="4" w:space="0" w:color="auto"/>
              <w:right w:val="single" w:sz="4" w:space="0" w:color="auto"/>
            </w:tcBorders>
          </w:tcPr>
          <w:p w14:paraId="6E95E3A8" w14:textId="54E631AA" w:rsidR="007C4B2D" w:rsidRPr="007C4B2D" w:rsidRDefault="007C4B2D" w:rsidP="00D7612B">
            <w:pPr>
              <w:rPr>
                <w:strike/>
              </w:rPr>
            </w:pPr>
            <w:r w:rsidRPr="007C4B2D">
              <w:rPr>
                <w:strike/>
              </w:rPr>
              <w:t>4:30-4:50pm</w:t>
            </w:r>
            <w:r w:rsidR="00515377">
              <w:rPr>
                <w:strike/>
              </w:rPr>
              <w:t>*</w:t>
            </w:r>
          </w:p>
          <w:p w14:paraId="074BA0CA" w14:textId="77777777" w:rsidR="007C4B2D" w:rsidRPr="007C4B2D" w:rsidRDefault="007C4B2D" w:rsidP="00D7612B">
            <w:pPr>
              <w:rPr>
                <w:strike/>
              </w:rPr>
            </w:pPr>
            <w:r w:rsidRPr="007C4B2D">
              <w:rPr>
                <w:strike/>
              </w:rPr>
              <w:t>(20 minutes)</w:t>
            </w:r>
          </w:p>
        </w:tc>
        <w:tc>
          <w:tcPr>
            <w:tcW w:w="4618" w:type="dxa"/>
            <w:tcBorders>
              <w:top w:val="single" w:sz="4" w:space="0" w:color="auto"/>
              <w:left w:val="single" w:sz="4" w:space="0" w:color="auto"/>
              <w:bottom w:val="single" w:sz="4" w:space="0" w:color="auto"/>
              <w:right w:val="single" w:sz="4" w:space="0" w:color="auto"/>
            </w:tcBorders>
          </w:tcPr>
          <w:p w14:paraId="7B64297D" w14:textId="77777777" w:rsidR="007C4B2D" w:rsidRPr="007C4B2D" w:rsidRDefault="007C4B2D" w:rsidP="00D7612B">
            <w:pPr>
              <w:rPr>
                <w:strike/>
              </w:rPr>
            </w:pPr>
            <w:r w:rsidRPr="007C4B2D">
              <w:rPr>
                <w:strike/>
              </w:rPr>
              <w:t>Canadian Codes of Practice – a history and implementation</w:t>
            </w:r>
          </w:p>
        </w:tc>
        <w:tc>
          <w:tcPr>
            <w:tcW w:w="3122" w:type="dxa"/>
            <w:tcBorders>
              <w:left w:val="single" w:sz="4" w:space="0" w:color="auto"/>
            </w:tcBorders>
          </w:tcPr>
          <w:p w14:paraId="4C98A4E2" w14:textId="77777777" w:rsidR="007C4B2D" w:rsidRPr="007C4B2D" w:rsidRDefault="007C4B2D" w:rsidP="00D7612B">
            <w:pPr>
              <w:rPr>
                <w:strike/>
              </w:rPr>
            </w:pPr>
            <w:r w:rsidRPr="007C4B2D">
              <w:rPr>
                <w:strike/>
              </w:rPr>
              <w:t>Jackie Wepruk, Canadian National Farm Animal Care Council Division Director</w:t>
            </w:r>
          </w:p>
        </w:tc>
      </w:tr>
      <w:tr w:rsidR="007C4B2D" w:rsidRPr="00EC6FC5" w14:paraId="0316D806" w14:textId="77777777" w:rsidTr="00D7612B">
        <w:tc>
          <w:tcPr>
            <w:tcW w:w="1610" w:type="dxa"/>
            <w:tcBorders>
              <w:top w:val="single" w:sz="4" w:space="0" w:color="auto"/>
            </w:tcBorders>
          </w:tcPr>
          <w:p w14:paraId="1C0F24EA" w14:textId="77777777" w:rsidR="007C4B2D" w:rsidRPr="00EC6FC5" w:rsidRDefault="007C4B2D" w:rsidP="00D7612B">
            <w:r>
              <w:t>4:50-5:15pm</w:t>
            </w:r>
          </w:p>
        </w:tc>
        <w:tc>
          <w:tcPr>
            <w:tcW w:w="4618" w:type="dxa"/>
            <w:tcBorders>
              <w:top w:val="single" w:sz="4" w:space="0" w:color="auto"/>
            </w:tcBorders>
          </w:tcPr>
          <w:p w14:paraId="0C07E23A" w14:textId="77777777" w:rsidR="007C4B2D" w:rsidRPr="00EC6FC5" w:rsidRDefault="007C4B2D" w:rsidP="00D7612B">
            <w:r>
              <w:t>New business</w:t>
            </w:r>
          </w:p>
        </w:tc>
        <w:tc>
          <w:tcPr>
            <w:tcW w:w="3122" w:type="dxa"/>
          </w:tcPr>
          <w:p w14:paraId="257E8DE9" w14:textId="77777777" w:rsidR="007C4B2D" w:rsidRPr="00EC6FC5" w:rsidRDefault="007C4B2D" w:rsidP="00D7612B">
            <w:r>
              <w:t>Dr. Liz Cox</w:t>
            </w:r>
          </w:p>
        </w:tc>
      </w:tr>
      <w:tr w:rsidR="007C4B2D" w:rsidRPr="00EC6FC5" w14:paraId="04E3F8BC" w14:textId="77777777" w:rsidTr="00D7612B">
        <w:tc>
          <w:tcPr>
            <w:tcW w:w="1610" w:type="dxa"/>
          </w:tcPr>
          <w:p w14:paraId="1E6A1062" w14:textId="77777777" w:rsidR="007C4B2D" w:rsidRPr="00EC6FC5" w:rsidRDefault="007C4B2D" w:rsidP="00D7612B"/>
        </w:tc>
        <w:tc>
          <w:tcPr>
            <w:tcW w:w="4618" w:type="dxa"/>
          </w:tcPr>
          <w:p w14:paraId="66034DE7" w14:textId="77777777" w:rsidR="007C4B2D" w:rsidRPr="00EC6FC5" w:rsidRDefault="007C4B2D" w:rsidP="00D7612B"/>
        </w:tc>
        <w:tc>
          <w:tcPr>
            <w:tcW w:w="3122" w:type="dxa"/>
          </w:tcPr>
          <w:p w14:paraId="27D080A5" w14:textId="77777777" w:rsidR="007C4B2D" w:rsidRPr="00EC6FC5" w:rsidRDefault="007C4B2D" w:rsidP="00D7612B"/>
        </w:tc>
      </w:tr>
    </w:tbl>
    <w:p w14:paraId="2629173F" w14:textId="172B63C9" w:rsidR="00B52222" w:rsidRDefault="00515377" w:rsidP="0095554B">
      <w:r>
        <w:t>*Due to meeting running long Jackie Wep</w:t>
      </w:r>
      <w:r w:rsidR="00BD66A2">
        <w:t xml:space="preserve">ruk did not present on Canadian Codes of Practice.  Animal Welfare Committee will have her present virtually to the committee at a future date. </w:t>
      </w:r>
    </w:p>
    <w:p w14:paraId="39353F81" w14:textId="77777777" w:rsidR="0095554B" w:rsidRDefault="0095554B" w:rsidP="0095554B"/>
    <w:p w14:paraId="6D9846BF" w14:textId="77777777" w:rsidR="0095554B" w:rsidRPr="00B006A8" w:rsidRDefault="0095554B" w:rsidP="003A15DF">
      <w:pPr>
        <w:rPr>
          <w:rFonts w:cs="Arial"/>
        </w:rPr>
      </w:pPr>
    </w:p>
    <w:p w14:paraId="558CD478" w14:textId="456394EE" w:rsidR="0095554B" w:rsidRPr="00B006A8" w:rsidRDefault="0095554B" w:rsidP="0095554B">
      <w:pPr>
        <w:rPr>
          <w:rFonts w:cs="Arial"/>
          <w:b/>
          <w:bCs/>
          <w:u w:val="single"/>
        </w:rPr>
      </w:pPr>
      <w:r w:rsidRPr="00B006A8">
        <w:rPr>
          <w:rFonts w:cs="Arial"/>
          <w:b/>
          <w:bCs/>
          <w:u w:val="single"/>
        </w:rPr>
        <w:t xml:space="preserve">Committee Business: </w:t>
      </w:r>
    </w:p>
    <w:p w14:paraId="188A5D41" w14:textId="72F2705A" w:rsidR="0095554B" w:rsidRPr="00B006A8" w:rsidRDefault="00DC2D5F" w:rsidP="0095554B">
      <w:pPr>
        <w:ind w:firstLine="360"/>
        <w:rPr>
          <w:rFonts w:cs="Arial"/>
          <w:i/>
          <w:iCs/>
        </w:rPr>
      </w:pPr>
      <w:r w:rsidRPr="00B006A8">
        <w:rPr>
          <w:rFonts w:cs="Arial"/>
        </w:rPr>
        <w:t xml:space="preserve">Passed Resolution: </w:t>
      </w:r>
      <w:r w:rsidRPr="00B006A8">
        <w:rPr>
          <w:rFonts w:cs="Arial"/>
          <w:i/>
          <w:iCs/>
        </w:rPr>
        <w:t>Accessibility of Nitrogen-Based Depopulation Methods for Response to Highly Pathogenic Avian Influenza</w:t>
      </w:r>
    </w:p>
    <w:p w14:paraId="2E884D94" w14:textId="5B17702A" w:rsidR="00DC2D5F" w:rsidRPr="00B006A8" w:rsidRDefault="00DC2D5F" w:rsidP="0095554B">
      <w:pPr>
        <w:ind w:firstLine="360"/>
        <w:rPr>
          <w:rFonts w:cs="Arial"/>
        </w:rPr>
      </w:pPr>
      <w:r w:rsidRPr="00B006A8">
        <w:rPr>
          <w:rFonts w:cs="Arial"/>
        </w:rPr>
        <w:t xml:space="preserve">Dr. </w:t>
      </w:r>
      <w:r w:rsidR="008C1DF4" w:rsidRPr="00B006A8">
        <w:rPr>
          <w:rFonts w:cs="Arial"/>
        </w:rPr>
        <w:t xml:space="preserve">Molly Parker will be stepping down as Vice Chair and Dr. Ben Wileman will </w:t>
      </w:r>
      <w:r w:rsidR="007A680E" w:rsidRPr="00B006A8">
        <w:rPr>
          <w:rFonts w:cs="Arial"/>
        </w:rPr>
        <w:t xml:space="preserve">now be serving as Vice Chair. </w:t>
      </w:r>
    </w:p>
    <w:p w14:paraId="50490B94" w14:textId="77777777" w:rsidR="003A15DF" w:rsidRPr="00B006A8" w:rsidRDefault="003A15DF" w:rsidP="001C330C">
      <w:pPr>
        <w:rPr>
          <w:rFonts w:cs="Arial"/>
        </w:rPr>
      </w:pPr>
    </w:p>
    <w:p w14:paraId="43B147CC" w14:textId="77777777" w:rsidR="001E313B" w:rsidRPr="00B006A8" w:rsidRDefault="001E313B" w:rsidP="001E313B">
      <w:pPr>
        <w:ind w:firstLine="360"/>
        <w:rPr>
          <w:rFonts w:cs="Arial"/>
        </w:rPr>
      </w:pPr>
    </w:p>
    <w:p w14:paraId="09F2BC1B" w14:textId="0959F960" w:rsidR="003A15DF" w:rsidRPr="00B006A8" w:rsidRDefault="003A15DF" w:rsidP="001E313B">
      <w:pPr>
        <w:rPr>
          <w:rFonts w:cs="Arial"/>
          <w:b/>
          <w:bCs/>
          <w:u w:val="single"/>
        </w:rPr>
      </w:pPr>
      <w:r w:rsidRPr="00B006A8">
        <w:rPr>
          <w:rFonts w:cs="Arial"/>
          <w:b/>
          <w:bCs/>
          <w:u w:val="single"/>
        </w:rPr>
        <w:t xml:space="preserve">Supplemental Information </w:t>
      </w:r>
    </w:p>
    <w:p w14:paraId="6F5057EE" w14:textId="77777777" w:rsidR="003A15DF" w:rsidRPr="00B006A8" w:rsidRDefault="003A15DF" w:rsidP="001E313B">
      <w:pPr>
        <w:rPr>
          <w:rFonts w:cs="Arial"/>
        </w:rPr>
      </w:pPr>
    </w:p>
    <w:p w14:paraId="4760DF40" w14:textId="10EE47B4" w:rsidR="005012EA" w:rsidRDefault="005012EA" w:rsidP="003A15DF">
      <w:pPr>
        <w:rPr>
          <w:rFonts w:cs="Arial"/>
          <w:b/>
          <w:bCs/>
        </w:rPr>
      </w:pPr>
      <w:r>
        <w:rPr>
          <w:rFonts w:cs="Arial"/>
          <w:b/>
          <w:bCs/>
        </w:rPr>
        <w:t xml:space="preserve">Liz Cox, DVM. </w:t>
      </w:r>
      <w:r w:rsidRPr="005012EA">
        <w:rPr>
          <w:rFonts w:cs="Arial"/>
          <w:b/>
          <w:bCs/>
        </w:rPr>
        <w:t>NADPRP High Expansion Nitrogen Foam update from California</w:t>
      </w:r>
    </w:p>
    <w:p w14:paraId="35080F22" w14:textId="0EEA7A5F" w:rsidR="005012EA" w:rsidRPr="005012EA" w:rsidRDefault="005012EA" w:rsidP="005012EA">
      <w:pPr>
        <w:rPr>
          <w:rFonts w:cs="Arial"/>
        </w:rPr>
      </w:pPr>
      <w:r>
        <w:rPr>
          <w:rFonts w:cs="Arial"/>
          <w:b/>
          <w:bCs/>
        </w:rPr>
        <w:tab/>
      </w:r>
      <w:r w:rsidRPr="005012EA">
        <w:rPr>
          <w:rFonts w:cs="Arial"/>
        </w:rPr>
        <w:t xml:space="preserve">Current depopulation of commercial poultry is limited to a few methodologies. In larger </w:t>
      </w:r>
      <w:r w:rsidR="00E050E2">
        <w:rPr>
          <w:rFonts w:cs="Arial"/>
        </w:rPr>
        <w:t xml:space="preserve">poultry operations, </w:t>
      </w:r>
      <w:r w:rsidR="00FA5C27">
        <w:rPr>
          <w:rFonts w:cs="Arial"/>
        </w:rPr>
        <w:t>the op</w:t>
      </w:r>
      <w:r w:rsidR="0045519E">
        <w:rPr>
          <w:rFonts w:cs="Arial"/>
        </w:rPr>
        <w:t xml:space="preserve">tions that can be rapidly implemented are very labor intensive </w:t>
      </w:r>
      <w:r w:rsidR="007E3A45">
        <w:rPr>
          <w:rFonts w:cs="Arial"/>
        </w:rPr>
        <w:t xml:space="preserve">or are </w:t>
      </w:r>
      <w:r w:rsidR="00EF52C6">
        <w:rPr>
          <w:rFonts w:cs="Arial"/>
        </w:rPr>
        <w:t>a last result option from an animal welfare perspective.  Depopulation via the inhalation of inert gas, such as nitrogen, is an approved method in A</w:t>
      </w:r>
      <w:r w:rsidR="00FD03FF">
        <w:rPr>
          <w:rFonts w:cs="Arial"/>
        </w:rPr>
        <w:t>VMA Guidelines for Depopulation of Animals.  The obstacle to using nitrogen in the in depopulation of poultry ha</w:t>
      </w:r>
      <w:r w:rsidR="00B148E6">
        <w:rPr>
          <w:rFonts w:cs="Arial"/>
        </w:rPr>
        <w:t xml:space="preserve">s been how to deliver the nitrogen to the birds for the purpose of death. </w:t>
      </w:r>
      <w:r w:rsidR="00520030">
        <w:rPr>
          <w:rFonts w:cs="Arial"/>
        </w:rPr>
        <w:t>High-expansion n</w:t>
      </w:r>
      <w:r w:rsidRPr="005012EA">
        <w:rPr>
          <w:rFonts w:cs="Arial"/>
        </w:rPr>
        <w:t xml:space="preserve">itrogen foam is </w:t>
      </w:r>
      <w:r w:rsidR="00520030">
        <w:rPr>
          <w:rFonts w:cs="Arial"/>
        </w:rPr>
        <w:t xml:space="preserve">a method to deliver nitrogen around the animals, creating the anoxic environment.  </w:t>
      </w:r>
      <w:r w:rsidR="002F544B">
        <w:rPr>
          <w:rFonts w:cs="Arial"/>
        </w:rPr>
        <w:t>High-expansion nitrogen foam</w:t>
      </w:r>
      <w:r w:rsidRPr="005012EA">
        <w:rPr>
          <w:rFonts w:cs="Arial"/>
        </w:rPr>
        <w:t xml:space="preserve"> requires less water and introduces less weight into raised floor facilities compared to currently used foam methodologies. Nitrogen foam has the potential to allow for depopulation in a wider array of poultry facilities, and other species, in a more humane manner than what is currently available. It also provides the advantage of reducing the exposure of personnel to zoonotic agents, such as highly pathogenic avian influenza. Furthermore, the marked reduction in water usage reduces the logistical challenges of delivering water remote farms on specific schedules.  </w:t>
      </w:r>
    </w:p>
    <w:p w14:paraId="1139545F" w14:textId="77777777" w:rsidR="005012EA" w:rsidRPr="005012EA" w:rsidRDefault="005012EA" w:rsidP="005012EA">
      <w:pPr>
        <w:rPr>
          <w:rFonts w:cs="Arial"/>
        </w:rPr>
      </w:pPr>
    </w:p>
    <w:p w14:paraId="6D62C628" w14:textId="06AA6106" w:rsidR="005012EA" w:rsidRPr="005012EA" w:rsidRDefault="005012EA" w:rsidP="005012EA">
      <w:pPr>
        <w:rPr>
          <w:rFonts w:cs="Arial"/>
        </w:rPr>
      </w:pPr>
      <w:r w:rsidRPr="005012EA">
        <w:rPr>
          <w:rFonts w:cs="Arial"/>
        </w:rPr>
        <w:t xml:space="preserve">The </w:t>
      </w:r>
      <w:r w:rsidR="002F544B">
        <w:rPr>
          <w:rFonts w:cs="Arial"/>
        </w:rPr>
        <w:t>California</w:t>
      </w:r>
      <w:r w:rsidRPr="005012EA">
        <w:rPr>
          <w:rFonts w:cs="Arial"/>
        </w:rPr>
        <w:t xml:space="preserve"> Department of </w:t>
      </w:r>
      <w:r w:rsidR="008D3357">
        <w:rPr>
          <w:rFonts w:cs="Arial"/>
        </w:rPr>
        <w:t xml:space="preserve">Food and </w:t>
      </w:r>
      <w:r w:rsidRPr="005012EA">
        <w:rPr>
          <w:rFonts w:cs="Arial"/>
        </w:rPr>
        <w:t>Agriculture</w:t>
      </w:r>
      <w:r w:rsidR="008D3357">
        <w:rPr>
          <w:rFonts w:cs="Arial"/>
        </w:rPr>
        <w:t xml:space="preserve"> (CDFA)</w:t>
      </w:r>
      <w:r w:rsidRPr="005012EA">
        <w:rPr>
          <w:rFonts w:cs="Arial"/>
        </w:rPr>
        <w:t xml:space="preserve"> </w:t>
      </w:r>
      <w:r w:rsidR="00E428CA">
        <w:rPr>
          <w:rFonts w:cs="Arial"/>
        </w:rPr>
        <w:t>received National Animal Disease Preparedness</w:t>
      </w:r>
      <w:r w:rsidR="009F6F4B">
        <w:rPr>
          <w:rFonts w:cs="Arial"/>
        </w:rPr>
        <w:t xml:space="preserve"> and Response</w:t>
      </w:r>
      <w:r w:rsidR="00525B08">
        <w:rPr>
          <w:rFonts w:cs="Arial"/>
        </w:rPr>
        <w:t xml:space="preserve"> Program (NADPRP) funding to perform field </w:t>
      </w:r>
      <w:r w:rsidR="003E1C6F">
        <w:rPr>
          <w:rFonts w:cs="Arial"/>
        </w:rPr>
        <w:t xml:space="preserve">demonstration studies utilizing high-expansion nitrogen foam in real world </w:t>
      </w:r>
      <w:r w:rsidR="008D3357">
        <w:rPr>
          <w:rFonts w:cs="Arial"/>
        </w:rPr>
        <w:t>empty</w:t>
      </w:r>
      <w:r w:rsidR="003E1C6F">
        <w:rPr>
          <w:rFonts w:cs="Arial"/>
        </w:rPr>
        <w:t xml:space="preserve"> poultry barns of different sty</w:t>
      </w:r>
      <w:r w:rsidR="008D3357">
        <w:rPr>
          <w:rFonts w:cs="Arial"/>
        </w:rPr>
        <w:t xml:space="preserve">les. </w:t>
      </w:r>
      <w:r w:rsidR="00E428CA">
        <w:rPr>
          <w:rFonts w:cs="Arial"/>
        </w:rPr>
        <w:t xml:space="preserve"> </w:t>
      </w:r>
      <w:r w:rsidR="00817D3F">
        <w:rPr>
          <w:rFonts w:cs="Arial"/>
        </w:rPr>
        <w:t xml:space="preserve">CDFA worked with Animal Emergency Services (AES) to perform two on-farm demonstrations of </w:t>
      </w:r>
      <w:r w:rsidR="008C753C">
        <w:rPr>
          <w:rFonts w:cs="Arial"/>
        </w:rPr>
        <w:t xml:space="preserve">filling empty poultry barn with high-expansion nitrogen foam. Information learned during these pilot studies helped to </w:t>
      </w:r>
      <w:r w:rsidR="00FD2543">
        <w:rPr>
          <w:rFonts w:cs="Arial"/>
        </w:rPr>
        <w:t xml:space="preserve">formulate the next NADPRP funded high-expansion nitrogen foam demonstration </w:t>
      </w:r>
      <w:r w:rsidR="00FD2543">
        <w:rPr>
          <w:rFonts w:cs="Arial"/>
        </w:rPr>
        <w:lastRenderedPageBreak/>
        <w:t xml:space="preserve">studies in Pennsylvania.  Before the technology of high-expansion nitrogen foam </w:t>
      </w:r>
      <w:r w:rsidR="006831EA">
        <w:rPr>
          <w:rFonts w:cs="Arial"/>
        </w:rPr>
        <w:t xml:space="preserve">can be used in the field in response to a disease outbreak in poultry where depopulation is </w:t>
      </w:r>
      <w:r w:rsidR="00712BC2">
        <w:rPr>
          <w:rFonts w:cs="Arial"/>
        </w:rPr>
        <w:t>warranted</w:t>
      </w:r>
      <w:r w:rsidR="006831EA">
        <w:rPr>
          <w:rFonts w:cs="Arial"/>
        </w:rPr>
        <w:t xml:space="preserve">. </w:t>
      </w:r>
    </w:p>
    <w:p w14:paraId="3816E35F" w14:textId="77777777" w:rsidR="005012EA" w:rsidRDefault="005012EA" w:rsidP="003A15DF">
      <w:pPr>
        <w:rPr>
          <w:rFonts w:cs="Arial"/>
          <w:b/>
          <w:bCs/>
        </w:rPr>
      </w:pPr>
    </w:p>
    <w:p w14:paraId="06EBDD98" w14:textId="6A6176C9" w:rsidR="003A15DF" w:rsidRPr="005012EA" w:rsidRDefault="00B006A8" w:rsidP="003A15DF">
      <w:pPr>
        <w:rPr>
          <w:rFonts w:cs="Arial"/>
          <w:b/>
          <w:bCs/>
        </w:rPr>
      </w:pPr>
      <w:r w:rsidRPr="005012EA">
        <w:rPr>
          <w:rFonts w:cs="Arial"/>
          <w:b/>
          <w:bCs/>
        </w:rPr>
        <w:t>Jeff Hill, Livestock Welfare Strategies. Nitrogen Whole House Gas Depopulation presentation</w:t>
      </w:r>
    </w:p>
    <w:p w14:paraId="36D7A060" w14:textId="77777777" w:rsidR="00B006A8" w:rsidRPr="00505800" w:rsidRDefault="00B006A8" w:rsidP="00505800">
      <w:pPr>
        <w:ind w:firstLine="720"/>
        <w:rPr>
          <w:rFonts w:cs="Arial"/>
          <w:b/>
          <w:bCs/>
        </w:rPr>
      </w:pPr>
      <w:r w:rsidRPr="00505800">
        <w:rPr>
          <w:rFonts w:cs="Arial"/>
          <w:b/>
          <w:bCs/>
        </w:rPr>
        <w:t>Utilization of Inert Gas Technologies for the Mass Depopulation of Poultry:</w:t>
      </w:r>
    </w:p>
    <w:p w14:paraId="0E3922F5" w14:textId="77777777" w:rsidR="00505800" w:rsidRDefault="00B006A8" w:rsidP="00505800">
      <w:pPr>
        <w:ind w:left="720" w:firstLine="720"/>
        <w:rPr>
          <w:rFonts w:cs="Arial"/>
        </w:rPr>
      </w:pPr>
      <w:r w:rsidRPr="00B006A8">
        <w:rPr>
          <w:rFonts w:cs="Arial"/>
        </w:rPr>
        <w:t xml:space="preserve">Whole-barn carbon dioxide (CO2) gassing is a common method utilized worldwide for responding to disease outbreaks requiring the depopulation of large numbers of poultry in a timely manner.  However, since September of 2021, there has been supply disruptions and shortages of CO2. The ongoing outbreak of Highly Pathogenic Avian Influenza (HPAI) has further highlighted the fragility and exacerbated the shortages of the CO2 supply for on-farm depopulation during emergency response.  </w:t>
      </w:r>
    </w:p>
    <w:p w14:paraId="76B4F30A" w14:textId="77777777" w:rsidR="00505800" w:rsidRDefault="00B006A8" w:rsidP="00505800">
      <w:pPr>
        <w:ind w:left="720" w:firstLine="720"/>
        <w:rPr>
          <w:rFonts w:cs="Arial"/>
        </w:rPr>
      </w:pPr>
      <w:r w:rsidRPr="00B006A8">
        <w:rPr>
          <w:rFonts w:cs="Arial"/>
        </w:rPr>
        <w:t>Anoxia due to exposure to inert gases (N, AR, etc.) for the euthanasia, slaughter and depopulation of poultry has been evaluated and deemed acceptable worldwide. “Nitrogen is an inert gas (physiologically inert) and therefore does not induce a sense of breathlessness and thus does not cause aversive reactions in the birds” (Berg 2007).  Previous research has shown unconsciousness, and ultimate death was gradually induced in poultry (hens, broilers, and chicks) without indications of distress when N2 was slowly introduced, and Anoxic conditions maintained at less than 2%.</w:t>
      </w:r>
    </w:p>
    <w:p w14:paraId="29772E08" w14:textId="77777777" w:rsidR="00505800" w:rsidRDefault="00B006A8" w:rsidP="00505800">
      <w:pPr>
        <w:ind w:left="720" w:firstLine="720"/>
        <w:rPr>
          <w:rFonts w:cs="Arial"/>
        </w:rPr>
      </w:pPr>
      <w:r w:rsidRPr="00B006A8">
        <w:rPr>
          <w:rFonts w:cs="Arial"/>
        </w:rPr>
        <w:t xml:space="preserve">Even though approved as a method for euthanasia of poultry and demonstrated effective under research conditions, historically the use of nitrogen for whole barn gassing has been extremely limited. However, there have been few published reports indicating liquid nitrogen (LIN) and N2 have been used for the in-house killing of laying hens in battery cage systems within Europe (Berg, 2007; Raj, 2008). </w:t>
      </w:r>
    </w:p>
    <w:p w14:paraId="1823D1CF" w14:textId="740E2CB8" w:rsidR="00505800" w:rsidRDefault="00B006A8" w:rsidP="00AD55CF">
      <w:pPr>
        <w:ind w:left="1440" w:firstLine="360"/>
        <w:rPr>
          <w:rFonts w:cs="Arial"/>
        </w:rPr>
      </w:pPr>
      <w:r w:rsidRPr="00B006A8">
        <w:rPr>
          <w:rFonts w:cs="Arial"/>
        </w:rPr>
        <w:t>The limited use of N2 for whole barn gassing of poultry is due to these anticipated difficulties (AVMA,</w:t>
      </w:r>
      <w:r w:rsidR="00AD55CF">
        <w:rPr>
          <w:rFonts w:cs="Arial"/>
        </w:rPr>
        <w:t xml:space="preserve"> </w:t>
      </w:r>
      <w:r w:rsidRPr="00B006A8">
        <w:rPr>
          <w:rFonts w:cs="Arial"/>
        </w:rPr>
        <w:t xml:space="preserve">2019): </w:t>
      </w:r>
    </w:p>
    <w:p w14:paraId="3862ABB1" w14:textId="77777777" w:rsidR="00505800" w:rsidRDefault="00B006A8" w:rsidP="00B006A8">
      <w:pPr>
        <w:pStyle w:val="ListParagraph"/>
        <w:numPr>
          <w:ilvl w:val="0"/>
          <w:numId w:val="3"/>
        </w:numPr>
        <w:rPr>
          <w:rFonts w:cs="Arial"/>
        </w:rPr>
      </w:pPr>
      <w:r w:rsidRPr="00505800">
        <w:rPr>
          <w:rFonts w:cs="Arial"/>
        </w:rPr>
        <w:t xml:space="preserve">Human safety. </w:t>
      </w:r>
    </w:p>
    <w:p w14:paraId="15E33BE2" w14:textId="77777777" w:rsidR="00505800" w:rsidRDefault="00B006A8" w:rsidP="00B006A8">
      <w:pPr>
        <w:pStyle w:val="ListParagraph"/>
        <w:numPr>
          <w:ilvl w:val="0"/>
          <w:numId w:val="3"/>
        </w:numPr>
        <w:rPr>
          <w:rFonts w:cs="Arial"/>
        </w:rPr>
      </w:pPr>
      <w:r w:rsidRPr="00505800">
        <w:rPr>
          <w:rFonts w:cs="Arial"/>
        </w:rPr>
        <w:t xml:space="preserve">Controlling gas flow and distribution throughout the barn. </w:t>
      </w:r>
    </w:p>
    <w:p w14:paraId="419BA201" w14:textId="77777777" w:rsidR="00AD55CF" w:rsidRDefault="00B006A8" w:rsidP="00B006A8">
      <w:pPr>
        <w:pStyle w:val="ListParagraph"/>
        <w:numPr>
          <w:ilvl w:val="0"/>
          <w:numId w:val="3"/>
        </w:numPr>
        <w:rPr>
          <w:rFonts w:cs="Arial"/>
        </w:rPr>
      </w:pPr>
      <w:r w:rsidRPr="00505800">
        <w:rPr>
          <w:rFonts w:cs="Arial"/>
        </w:rPr>
        <w:t xml:space="preserve">The amount of N2 gas required based on the diminishing rate of change dynamics during the wash in/wash out process necessary to reach and maintain less than 2% oxygen level throughout the entire volume of the barn </w:t>
      </w:r>
    </w:p>
    <w:p w14:paraId="64787A0B" w14:textId="77777777" w:rsidR="00AD55CF" w:rsidRDefault="00B006A8" w:rsidP="00B006A8">
      <w:pPr>
        <w:pStyle w:val="ListParagraph"/>
        <w:numPr>
          <w:ilvl w:val="0"/>
          <w:numId w:val="3"/>
        </w:numPr>
        <w:rPr>
          <w:rFonts w:cs="Arial"/>
        </w:rPr>
      </w:pPr>
      <w:r w:rsidRPr="00AD55CF">
        <w:rPr>
          <w:rFonts w:cs="Arial"/>
        </w:rPr>
        <w:t xml:space="preserve">Time required to fill the barn with sufficient N2 to ensure less than 2% oxygen level, with the ventilation shut down. </w:t>
      </w:r>
    </w:p>
    <w:p w14:paraId="06D6B48A" w14:textId="39148D2B" w:rsidR="003A15DF" w:rsidRPr="00AD55CF" w:rsidRDefault="00B006A8" w:rsidP="00B006A8">
      <w:pPr>
        <w:pStyle w:val="ListParagraph"/>
        <w:numPr>
          <w:ilvl w:val="0"/>
          <w:numId w:val="3"/>
        </w:numPr>
        <w:rPr>
          <w:rFonts w:cs="Arial"/>
        </w:rPr>
      </w:pPr>
      <w:r w:rsidRPr="00AD55CF">
        <w:rPr>
          <w:rFonts w:cs="Arial"/>
        </w:rPr>
        <w:t>Animal welfare concerns during inert gassing especially regarding oxygen deprivation and when utilizing</w:t>
      </w:r>
    </w:p>
    <w:p w14:paraId="371F07B7" w14:textId="77777777" w:rsidR="003A15DF" w:rsidRDefault="003A15DF" w:rsidP="001E313B"/>
    <w:p w14:paraId="0BD39732" w14:textId="77777777" w:rsidR="00846235" w:rsidRPr="005012EA" w:rsidRDefault="00846235" w:rsidP="00846235">
      <w:pPr>
        <w:rPr>
          <w:b/>
          <w:bCs/>
        </w:rPr>
      </w:pPr>
      <w:r w:rsidRPr="005012EA">
        <w:rPr>
          <w:b/>
          <w:bCs/>
        </w:rPr>
        <w:t>Clayton Johnson, DVM</w:t>
      </w:r>
      <w:r w:rsidRPr="005012EA">
        <w:rPr>
          <w:b/>
          <w:bCs/>
        </w:rPr>
        <w:t xml:space="preserve">. </w:t>
      </w:r>
      <w:r w:rsidRPr="005012EA">
        <w:rPr>
          <w:b/>
          <w:bCs/>
        </w:rPr>
        <w:t>A Swine Veterinarian’s Perspective on Sow Housing Regulations</w:t>
      </w:r>
    </w:p>
    <w:p w14:paraId="62FA4CA7" w14:textId="77777777" w:rsidR="00846235" w:rsidRDefault="00846235" w:rsidP="00846235">
      <w:pPr>
        <w:ind w:left="720" w:firstLine="720"/>
      </w:pPr>
      <w:r w:rsidRPr="00D87EDC">
        <w:t>The regulation of sow housing in the United States is increasingly shaped by state-level legislation and ballot initiatives. While these efforts are motivated by public concern for animal welfare, they often impose rigid, prescriptive requirements that fail to reflect the complexity of swine husbandry. California’s Proposition 12 is a</w:t>
      </w:r>
      <w:r>
        <w:t xml:space="preserve">n </w:t>
      </w:r>
      <w:r w:rsidRPr="00D87EDC">
        <w:t>example</w:t>
      </w:r>
      <w:r>
        <w:t xml:space="preserve">; </w:t>
      </w:r>
      <w:r w:rsidRPr="00D87EDC">
        <w:t>by mandating specific space requirements without addressing broader care practices, it has inadvertently contributed to increased sow aggression, injuries, and even higher mortality rates. What was intended to enhance welfare has, in some cases, reduced i</w:t>
      </w:r>
      <w:r>
        <w:t xml:space="preserve">t, </w:t>
      </w:r>
      <w:r w:rsidRPr="00D87EDC">
        <w:t xml:space="preserve">illustrating the risks of policy that </w:t>
      </w:r>
      <w:r>
        <w:t>informed more by</w:t>
      </w:r>
      <w:r w:rsidRPr="00D87EDC">
        <w:t xml:space="preserve"> perception </w:t>
      </w:r>
      <w:r>
        <w:t>than</w:t>
      </w:r>
      <w:r w:rsidRPr="00D87EDC">
        <w:t xml:space="preserve"> science.</w:t>
      </w:r>
    </w:p>
    <w:p w14:paraId="14057A08" w14:textId="77777777" w:rsidR="00846235" w:rsidRDefault="00846235" w:rsidP="00846235">
      <w:pPr>
        <w:ind w:left="720" w:firstLine="720"/>
      </w:pPr>
      <w:r w:rsidRPr="00D87EDC">
        <w:t xml:space="preserve">If each state continues to establish its own sow housing regulations, the U.S. will inevitably face a patchwork </w:t>
      </w:r>
      <w:r>
        <w:t>numerous</w:t>
      </w:r>
      <w:r w:rsidRPr="00D87EDC">
        <w:t xml:space="preserve"> different standard</w:t>
      </w:r>
      <w:r>
        <w:t>s.</w:t>
      </w:r>
      <w:r w:rsidRPr="00D87EDC">
        <w:t xml:space="preserve"> Such fragmentation guarantees inconsistency, inefficiency, and confusion, while ensuring that not all sows are housed under the best possible conditions. </w:t>
      </w:r>
      <w:r>
        <w:t>Simply put,</w:t>
      </w:r>
      <w:r w:rsidRPr="00D87EDC">
        <w:t xml:space="preserve"> there cannot be 50 versions of “best” welfare standards. Producers, veterinarians, and caretakers will be forced to navigate conflicting rules that are neither sustainable </w:t>
      </w:r>
      <w:r>
        <w:t>and at times, not</w:t>
      </w:r>
      <w:r w:rsidRPr="00D87EDC">
        <w:t xml:space="preserve"> truly beneficial for animals.</w:t>
      </w:r>
    </w:p>
    <w:p w14:paraId="672EA194" w14:textId="77777777" w:rsidR="00846235" w:rsidRDefault="00846235" w:rsidP="00846235">
      <w:pPr>
        <w:ind w:left="720" w:firstLine="720"/>
      </w:pPr>
      <w:r w:rsidRPr="00D87EDC">
        <w:t>A more effective path forward is the development of a unified, national standard for sow housing</w:t>
      </w:r>
      <w:r>
        <w:t xml:space="preserve">, </w:t>
      </w:r>
      <w:r w:rsidRPr="00D87EDC">
        <w:t>one that is rooted in science, guided by veterinary expertise, and aligned with internationally recognized benchmarks. Rather than focusing narrowly on prescriptive space allocations, a national standard should incorporate outcome-based measures that reflect true welfare, such as body condition, lameness prevalence, injury rates, sow longevity, and mortality.</w:t>
      </w:r>
      <w:r>
        <w:t xml:space="preserve">  Fortunately, there are examples of similar</w:t>
      </w:r>
      <w:r w:rsidRPr="00D87EDC">
        <w:t xml:space="preserve"> infrastructure in place to support such an approach. The Common Swine Industry Audit (CSIA), </w:t>
      </w:r>
      <w:r>
        <w:t>collaboratively developed by</w:t>
      </w:r>
      <w:r w:rsidRPr="00D87EDC">
        <w:t xml:space="preserve"> veterinarians, scientists, producers, and processors</w:t>
      </w:r>
      <w:r>
        <w:t xml:space="preserve"> </w:t>
      </w:r>
      <w:r w:rsidRPr="00D87EDC">
        <w:t xml:space="preserve">provides a consistent, reliable, and science-driven auditing system. Built from the Pork Quality Assurance® Plus (PQA Plus®) site assessment program, the CSIA evaluates 27 key aspects of swine care, including animal records, facilities, and caretaker training, with a strong emphasis on animal-based outcome measures. </w:t>
      </w:r>
      <w:r>
        <w:t>Unlike legislated sow housing standards, the CSIA framework allows for continuous improvement.  A group of experts comprises the</w:t>
      </w:r>
      <w:r w:rsidRPr="00D87EDC">
        <w:t xml:space="preserve"> CSIA Task Force</w:t>
      </w:r>
      <w:r>
        <w:t xml:space="preserve"> which</w:t>
      </w:r>
      <w:r w:rsidRPr="00D87EDC">
        <w:t xml:space="preserve"> meets annually to review audit data, incorporate new scientific advances, respond to </w:t>
      </w:r>
      <w:r>
        <w:t>stakeholder</w:t>
      </w:r>
      <w:r w:rsidRPr="00D87EDC">
        <w:t xml:space="preserve"> feedback, and adapt to evolving consumer expectations. Unlike static legislative mandates, the CSIA is a dynamic framework that evolves with science and practice</w:t>
      </w:r>
      <w:r>
        <w:t>, allowing us to apply innovation to sow housing and improving the well-being of sows using the best science available in the future.</w:t>
      </w:r>
    </w:p>
    <w:p w14:paraId="70ACDDD3" w14:textId="77777777" w:rsidR="00846235" w:rsidRDefault="00846235" w:rsidP="00846235">
      <w:pPr>
        <w:ind w:left="720" w:firstLine="720"/>
      </w:pPr>
      <w:r w:rsidRPr="00D87EDC">
        <w:t xml:space="preserve">Complementing this, the PQA Plus® and Transport Quality Assurance® (TQA®) programs provide nationally standardized training, certification, and accountability for caretakers and transporters. Importantly, </w:t>
      </w:r>
      <w:r w:rsidRPr="00D87EDC">
        <w:lastRenderedPageBreak/>
        <w:t>these programs were recently confirmed as fully compliant with ISO Technical Specification 34700, which aligns with World Organization for Animal Health (WOAH) animal welfare standards. This international recognition affirms th</w:t>
      </w:r>
      <w:r>
        <w:t xml:space="preserve">ese </w:t>
      </w:r>
      <w:r w:rsidRPr="00D87EDC">
        <w:t xml:space="preserve">programs meet rigorous, globally accepted criteria for welfare. </w:t>
      </w:r>
      <w:r>
        <w:t xml:space="preserve">Like CSIA, PQA and TQA have an update process and timeline allowing for continuous improvement.  </w:t>
      </w:r>
      <w:r w:rsidRPr="00D87EDC">
        <w:t>Updated on a three-year cycle, PQA and TQA incorporate new scientific evidence, stakeholder feedback, and evolving market expectations</w:t>
      </w:r>
      <w:r>
        <w:t xml:space="preserve"> </w:t>
      </w:r>
      <w:r w:rsidRPr="00D87EDC">
        <w:t>ensuring continuous improvement and relevance.</w:t>
      </w:r>
    </w:p>
    <w:p w14:paraId="40AD265D" w14:textId="77777777" w:rsidR="00846235" w:rsidRDefault="00846235" w:rsidP="00846235">
      <w:pPr>
        <w:ind w:left="720" w:firstLine="720"/>
      </w:pPr>
      <w:r w:rsidRPr="00D87EDC">
        <w:t>Together, these systems</w:t>
      </w:r>
      <w:r>
        <w:t xml:space="preserve"> </w:t>
      </w:r>
      <w:r w:rsidRPr="00D87EDC">
        <w:t>CSIA, PQA Plus, and TQA</w:t>
      </w:r>
      <w:r>
        <w:t xml:space="preserve"> </w:t>
      </w:r>
      <w:r w:rsidRPr="00D87EDC">
        <w:t xml:space="preserve">demonstrate that the U.S. </w:t>
      </w:r>
      <w:r>
        <w:t>has a framework</w:t>
      </w:r>
      <w:r w:rsidRPr="00D87EDC">
        <w:t xml:space="preserve"> to maintain </w:t>
      </w:r>
      <w:r>
        <w:t xml:space="preserve">and continuously improve </w:t>
      </w:r>
      <w:r w:rsidRPr="00D87EDC">
        <w:t>a science-based, nationally consistent, internationally respected welfare framework. They provide measurable, auditable, and transparent tools to safeguard animal well-being across diverse production systems, while maintaining consumer confidence in the safety and quality of U.S. pork.</w:t>
      </w:r>
    </w:p>
    <w:p w14:paraId="1F64C341" w14:textId="2D7D72E2" w:rsidR="00846235" w:rsidRPr="00D87EDC" w:rsidRDefault="00846235" w:rsidP="00846235">
      <w:pPr>
        <w:ind w:left="720" w:firstLine="720"/>
      </w:pPr>
      <w:r w:rsidRPr="00D87EDC">
        <w:t xml:space="preserve">For these reasons, </w:t>
      </w:r>
      <w:r>
        <w:t>I request U.S.</w:t>
      </w:r>
      <w:r w:rsidRPr="00D87EDC">
        <w:t xml:space="preserve"> animal health officials support a national standard for sow housing, developed and overseen by animal health professionals, rather than endorsing fragmented, state-by-state mandates. A coordinated national approach would:</w:t>
      </w:r>
    </w:p>
    <w:p w14:paraId="77A354AD" w14:textId="77777777" w:rsidR="00846235" w:rsidRDefault="00846235" w:rsidP="00846235">
      <w:pPr>
        <w:ind w:left="720"/>
      </w:pPr>
    </w:p>
    <w:p w14:paraId="4FF4564D" w14:textId="77777777" w:rsidR="00846235" w:rsidRPr="00D87EDC" w:rsidRDefault="00846235" w:rsidP="00846235">
      <w:pPr>
        <w:numPr>
          <w:ilvl w:val="0"/>
          <w:numId w:val="4"/>
        </w:numPr>
        <w:tabs>
          <w:tab w:val="clear" w:pos="720"/>
          <w:tab w:val="num" w:pos="1440"/>
        </w:tabs>
        <w:ind w:left="1440"/>
      </w:pPr>
      <w:r w:rsidRPr="00D87EDC">
        <w:t>Ensure consistency and fairness across states, avoiding regulatory fragmentation</w:t>
      </w:r>
    </w:p>
    <w:p w14:paraId="6B9F9FB6" w14:textId="77777777" w:rsidR="00846235" w:rsidRPr="00D87EDC" w:rsidRDefault="00846235" w:rsidP="00846235">
      <w:pPr>
        <w:numPr>
          <w:ilvl w:val="0"/>
          <w:numId w:val="4"/>
        </w:numPr>
        <w:tabs>
          <w:tab w:val="clear" w:pos="720"/>
          <w:tab w:val="num" w:pos="1440"/>
        </w:tabs>
        <w:ind w:left="1440"/>
      </w:pPr>
      <w:r w:rsidRPr="00D87EDC">
        <w:t>Prioritize outcome-based welfare improvements over arbitrary space requirements</w:t>
      </w:r>
    </w:p>
    <w:p w14:paraId="65BEFDDA" w14:textId="77777777" w:rsidR="00846235" w:rsidRPr="00D87EDC" w:rsidRDefault="00846235" w:rsidP="00846235">
      <w:pPr>
        <w:numPr>
          <w:ilvl w:val="0"/>
          <w:numId w:val="4"/>
        </w:numPr>
        <w:tabs>
          <w:tab w:val="clear" w:pos="720"/>
          <w:tab w:val="num" w:pos="1440"/>
        </w:tabs>
        <w:ind w:left="1440"/>
      </w:pPr>
      <w:r w:rsidRPr="00D87EDC">
        <w:t>Evolve dynamically with science, market demands, and practical experience</w:t>
      </w:r>
    </w:p>
    <w:p w14:paraId="6B1D9465" w14:textId="77777777" w:rsidR="00846235" w:rsidRDefault="00846235" w:rsidP="00846235">
      <w:pPr>
        <w:numPr>
          <w:ilvl w:val="0"/>
          <w:numId w:val="4"/>
        </w:numPr>
        <w:tabs>
          <w:tab w:val="clear" w:pos="720"/>
          <w:tab w:val="num" w:pos="1440"/>
        </w:tabs>
        <w:ind w:left="1440"/>
      </w:pPr>
      <w:r w:rsidRPr="00D87EDC">
        <w:t>Align with international standards</w:t>
      </w:r>
    </w:p>
    <w:p w14:paraId="68D2DEB9" w14:textId="77777777" w:rsidR="00846235" w:rsidRPr="00D87EDC" w:rsidRDefault="00846235" w:rsidP="00846235">
      <w:pPr>
        <w:ind w:left="1440"/>
      </w:pPr>
    </w:p>
    <w:p w14:paraId="7CB75F1B" w14:textId="77777777" w:rsidR="00846235" w:rsidRPr="00D87EDC" w:rsidRDefault="00846235" w:rsidP="00846235">
      <w:pPr>
        <w:ind w:left="720" w:firstLine="720"/>
      </w:pPr>
      <w:r w:rsidRPr="00D87EDC">
        <w:t>By building on existing programs that are already ISO-compliant and WOAH-aligned, the U.S. can advance sow welfare in a way that is sustainable, scientifically defensible, and responsive to both animal needs and societal expectations.</w:t>
      </w:r>
    </w:p>
    <w:p w14:paraId="306878F9" w14:textId="77777777" w:rsidR="00846235" w:rsidRDefault="00846235" w:rsidP="0095554B"/>
    <w:p w14:paraId="19F4FD3C" w14:textId="77777777" w:rsidR="00846235" w:rsidRDefault="00846235" w:rsidP="0095554B"/>
    <w:p w14:paraId="1357F152" w14:textId="32F5C78B" w:rsidR="0095554B" w:rsidRDefault="00FB7DC5" w:rsidP="0095554B">
      <w:r>
        <w:t xml:space="preserve">End of Report – Dr. Liz Cox </w:t>
      </w:r>
      <w:r w:rsidR="006B7708">
        <w:t>11</w:t>
      </w:r>
      <w:r>
        <w:t>/</w:t>
      </w:r>
      <w:r w:rsidR="006B7708">
        <w:t>04</w:t>
      </w:r>
      <w:r>
        <w:t>/2</w:t>
      </w:r>
      <w:r w:rsidR="006B7708">
        <w:t>5</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281E3EBD"/>
    <w:multiLevelType w:val="multilevel"/>
    <w:tmpl w:val="50F88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0C5D4F"/>
    <w:multiLevelType w:val="hybridMultilevel"/>
    <w:tmpl w:val="B1AEF4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380985066">
    <w:abstractNumId w:val="0"/>
  </w:num>
  <w:num w:numId="2" w16cid:durableId="1141190922">
    <w:abstractNumId w:val="0"/>
  </w:num>
  <w:num w:numId="3" w16cid:durableId="682900626">
    <w:abstractNumId w:val="2"/>
  </w:num>
  <w:num w:numId="4" w16cid:durableId="1470710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2308B"/>
    <w:rsid w:val="00072A07"/>
    <w:rsid w:val="0014653F"/>
    <w:rsid w:val="001C330C"/>
    <w:rsid w:val="001E313B"/>
    <w:rsid w:val="002647A2"/>
    <w:rsid w:val="00290C71"/>
    <w:rsid w:val="002F544B"/>
    <w:rsid w:val="00353923"/>
    <w:rsid w:val="003A15DF"/>
    <w:rsid w:val="003E1C6F"/>
    <w:rsid w:val="00447AF5"/>
    <w:rsid w:val="0045519E"/>
    <w:rsid w:val="004A311E"/>
    <w:rsid w:val="004A5BA1"/>
    <w:rsid w:val="004F342F"/>
    <w:rsid w:val="005012EA"/>
    <w:rsid w:val="00505800"/>
    <w:rsid w:val="00515377"/>
    <w:rsid w:val="00516064"/>
    <w:rsid w:val="00520030"/>
    <w:rsid w:val="00525B08"/>
    <w:rsid w:val="00591BA3"/>
    <w:rsid w:val="005E178D"/>
    <w:rsid w:val="005E4294"/>
    <w:rsid w:val="006831EA"/>
    <w:rsid w:val="006B7708"/>
    <w:rsid w:val="00712BC2"/>
    <w:rsid w:val="007A2C29"/>
    <w:rsid w:val="007A680E"/>
    <w:rsid w:val="007C4B2D"/>
    <w:rsid w:val="007E3A45"/>
    <w:rsid w:val="00817338"/>
    <w:rsid w:val="00817D3F"/>
    <w:rsid w:val="008356A6"/>
    <w:rsid w:val="00837C30"/>
    <w:rsid w:val="00846235"/>
    <w:rsid w:val="00847825"/>
    <w:rsid w:val="008A7663"/>
    <w:rsid w:val="008C1DF4"/>
    <w:rsid w:val="008C753C"/>
    <w:rsid w:val="008D3357"/>
    <w:rsid w:val="008F34E8"/>
    <w:rsid w:val="00917B4C"/>
    <w:rsid w:val="0095554B"/>
    <w:rsid w:val="009560EC"/>
    <w:rsid w:val="0099068B"/>
    <w:rsid w:val="009A10CD"/>
    <w:rsid w:val="009B186C"/>
    <w:rsid w:val="009C35EF"/>
    <w:rsid w:val="009F6F4B"/>
    <w:rsid w:val="00A20C34"/>
    <w:rsid w:val="00AB227B"/>
    <w:rsid w:val="00AD55CF"/>
    <w:rsid w:val="00AD5D84"/>
    <w:rsid w:val="00B006A8"/>
    <w:rsid w:val="00B10D6C"/>
    <w:rsid w:val="00B148E6"/>
    <w:rsid w:val="00B52222"/>
    <w:rsid w:val="00B54F2C"/>
    <w:rsid w:val="00BD66A2"/>
    <w:rsid w:val="00C559E3"/>
    <w:rsid w:val="00CA1580"/>
    <w:rsid w:val="00CE6768"/>
    <w:rsid w:val="00D201E9"/>
    <w:rsid w:val="00D76315"/>
    <w:rsid w:val="00D941E4"/>
    <w:rsid w:val="00DC2D5F"/>
    <w:rsid w:val="00E050E2"/>
    <w:rsid w:val="00E30780"/>
    <w:rsid w:val="00E31942"/>
    <w:rsid w:val="00E428CA"/>
    <w:rsid w:val="00EE3F68"/>
    <w:rsid w:val="00EF52C6"/>
    <w:rsid w:val="00FA5C27"/>
    <w:rsid w:val="00FB21FF"/>
    <w:rsid w:val="00FB7AB7"/>
    <w:rsid w:val="00FB7DC5"/>
    <w:rsid w:val="00FD03FF"/>
    <w:rsid w:val="00FD2543"/>
    <w:rsid w:val="00FE1ACC"/>
    <w:rsid w:val="00FF0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B52222"/>
    <w:pPr>
      <w:spacing w:before="100" w:beforeAutospacing="1" w:after="100" w:afterAutospacing="1"/>
    </w:pPr>
    <w:rPr>
      <w:rFonts w:ascii="Times New Roman" w:eastAsia="Times New Roman" w:hAnsi="Times New Roman"/>
      <w:kern w:val="0"/>
      <w:sz w:val="24"/>
      <w:szCs w:val="24"/>
      <w14:ligatures w14:val="none"/>
    </w:rPr>
  </w:style>
  <w:style w:type="paragraph" w:styleId="Bibliography">
    <w:name w:val="Bibliography"/>
    <w:basedOn w:val="Normal"/>
    <w:next w:val="Normal"/>
    <w:uiPriority w:val="37"/>
    <w:semiHidden/>
    <w:unhideWhenUsed/>
    <w:rsid w:val="003A15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4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48E9D-97B8-4762-B9AB-945B5FE7F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1608</Words>
  <Characters>9167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Elizabeth Cox</cp:lastModifiedBy>
  <cp:revision>39</cp:revision>
  <dcterms:created xsi:type="dcterms:W3CDTF">2025-11-04T17:44:00Z</dcterms:created>
  <dcterms:modified xsi:type="dcterms:W3CDTF">2025-11-05T01:39:00Z</dcterms:modified>
</cp:coreProperties>
</file>