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9F3F14" w14:textId="77777777" w:rsidR="00053CF5" w:rsidRDefault="00053CF5" w:rsidP="00053CF5">
      <w:pPr>
        <w:jc w:val="center"/>
      </w:pPr>
      <w:r>
        <w:t xml:space="preserve">COMMITTEE ON </w:t>
      </w:r>
      <w:r w:rsidRPr="00053CF5">
        <w:rPr>
          <w:rFonts w:cs="Arial"/>
        </w:rPr>
        <w:t>WILDLIFE</w:t>
      </w:r>
    </w:p>
    <w:p w14:paraId="3943A6C0" w14:textId="7042C74B" w:rsidR="00053CF5" w:rsidRDefault="00053CF5" w:rsidP="00053CF5">
      <w:pPr>
        <w:tabs>
          <w:tab w:val="center" w:pos="5220"/>
          <w:tab w:val="left" w:pos="6643"/>
        </w:tabs>
        <w:jc w:val="center"/>
      </w:pPr>
      <w:r>
        <w:t>Chair: Mark G. Ruder</w:t>
      </w:r>
    </w:p>
    <w:p w14:paraId="7360EE56" w14:textId="77777777" w:rsidR="00053CF5" w:rsidRDefault="00053CF5" w:rsidP="00053CF5">
      <w:pPr>
        <w:ind w:left="1080" w:right="1080"/>
        <w:jc w:val="center"/>
      </w:pPr>
      <w:r>
        <w:t>Vice Chair: Hunter Reed</w:t>
      </w:r>
    </w:p>
    <w:p w14:paraId="68A44A3B" w14:textId="77777777" w:rsidR="00053CF5" w:rsidRDefault="00053CF5" w:rsidP="00053CF5">
      <w:pPr>
        <w:jc w:val="center"/>
      </w:pPr>
    </w:p>
    <w:p w14:paraId="01C0B658" w14:textId="77777777" w:rsidR="00053CF5" w:rsidRDefault="00053CF5" w:rsidP="00053CF5">
      <w:pPr>
        <w:jc w:val="center"/>
      </w:pPr>
      <w:r>
        <w:t>[USAHA Staff will enter your committee roster]</w:t>
      </w:r>
    </w:p>
    <w:p w14:paraId="591FF993" w14:textId="77777777" w:rsidR="00053CF5" w:rsidRDefault="00053CF5" w:rsidP="00053CF5">
      <w:pPr>
        <w:jc w:val="center"/>
      </w:pPr>
    </w:p>
    <w:p w14:paraId="3AB671AB" w14:textId="4143B7A8" w:rsidR="00053CF5" w:rsidRDefault="00053CF5" w:rsidP="00053CF5">
      <w:pPr>
        <w:ind w:firstLine="360"/>
      </w:pPr>
      <w:r>
        <w:t>The Committee met during the 2024 Annual Meeting in Nashville, TN on October 1</w:t>
      </w:r>
      <w:r w:rsidR="0035471E">
        <w:t>5</w:t>
      </w:r>
      <w:r w:rsidR="0035471E" w:rsidRPr="0035471E">
        <w:rPr>
          <w:vertAlign w:val="superscript"/>
        </w:rPr>
        <w:t>th</w:t>
      </w:r>
      <w:r w:rsidR="0035471E">
        <w:t>, 2024</w:t>
      </w:r>
      <w:r>
        <w:t xml:space="preserve">. There were </w:t>
      </w:r>
      <w:r w:rsidR="0035471E">
        <w:t xml:space="preserve">approximately </w:t>
      </w:r>
      <w:r>
        <w:t>75 attendees</w:t>
      </w:r>
      <w:r w:rsidR="006E09A3">
        <w:t xml:space="preserve"> and guests</w:t>
      </w:r>
      <w:r>
        <w:t>.</w:t>
      </w:r>
    </w:p>
    <w:p w14:paraId="043381DE" w14:textId="77777777" w:rsidR="00053CF5" w:rsidRDefault="00053CF5" w:rsidP="00053CF5">
      <w:pPr>
        <w:ind w:firstLine="360"/>
      </w:pPr>
    </w:p>
    <w:p w14:paraId="4709E5D5" w14:textId="77777777" w:rsidR="00053CF5" w:rsidRDefault="00053CF5" w:rsidP="00053CF5">
      <w:r>
        <w:rPr>
          <w:b/>
          <w:bCs/>
        </w:rPr>
        <w:t xml:space="preserve">Presentations &amp; Reports </w:t>
      </w:r>
    </w:p>
    <w:p w14:paraId="53AE8591" w14:textId="3175A4A1" w:rsidR="000B7B39" w:rsidRDefault="00053CF5" w:rsidP="00053CF5">
      <w:pPr>
        <w:pStyle w:val="NormalWeb"/>
        <w:contextualSpacing/>
        <w:rPr>
          <w:rFonts w:ascii="Arial" w:hAnsi="Arial" w:cs="Arial"/>
          <w:b/>
          <w:bCs/>
          <w:iCs/>
          <w:sz w:val="20"/>
          <w:szCs w:val="20"/>
        </w:rPr>
      </w:pPr>
      <w:r w:rsidRPr="001C5E7D">
        <w:rPr>
          <w:rFonts w:ascii="Arial" w:hAnsi="Arial" w:cs="Arial"/>
          <w:b/>
          <w:bCs/>
          <w:sz w:val="20"/>
          <w:szCs w:val="20"/>
        </w:rPr>
        <w:t>Context is Everything: H</w:t>
      </w:r>
      <w:r w:rsidR="000B7B39">
        <w:rPr>
          <w:rFonts w:ascii="Arial" w:hAnsi="Arial" w:cs="Arial"/>
          <w:b/>
          <w:bCs/>
          <w:sz w:val="20"/>
          <w:szCs w:val="20"/>
        </w:rPr>
        <w:t>ighly Pathogenic Influenza A Virus</w:t>
      </w:r>
      <w:r w:rsidRPr="001C5E7D">
        <w:rPr>
          <w:rFonts w:ascii="Arial" w:hAnsi="Arial" w:cs="Arial"/>
          <w:b/>
          <w:bCs/>
          <w:sz w:val="20"/>
          <w:szCs w:val="20"/>
        </w:rPr>
        <w:t xml:space="preserve"> in North American Wildlife</w:t>
      </w:r>
    </w:p>
    <w:p w14:paraId="111BC09F" w14:textId="024FF788" w:rsidR="00053CF5" w:rsidRPr="000B7B39" w:rsidRDefault="00053CF5" w:rsidP="00053CF5">
      <w:pPr>
        <w:pStyle w:val="NormalWeb"/>
        <w:rPr>
          <w:rFonts w:ascii="Arial" w:hAnsi="Arial" w:cs="Arial"/>
          <w:b/>
          <w:bCs/>
          <w:iCs/>
          <w:sz w:val="20"/>
          <w:szCs w:val="20"/>
        </w:rPr>
      </w:pPr>
      <w:r w:rsidRPr="001C5E7D">
        <w:rPr>
          <w:rFonts w:ascii="Arial" w:hAnsi="Arial" w:cs="Arial"/>
          <w:sz w:val="20"/>
          <w:szCs w:val="20"/>
        </w:rPr>
        <w:t>Rebecca Poulson, Deborah Carter, David Stallknecht, S</w:t>
      </w:r>
      <w:r>
        <w:rPr>
          <w:rFonts w:ascii="Arial" w:hAnsi="Arial" w:cs="Arial"/>
          <w:sz w:val="20"/>
          <w:szCs w:val="20"/>
        </w:rPr>
        <w:t>outheastern Cooperative Wildlife Disease Study</w:t>
      </w:r>
      <w:r w:rsidRPr="001C5E7D">
        <w:rPr>
          <w:rFonts w:ascii="Arial" w:hAnsi="Arial" w:cs="Arial"/>
          <w:sz w:val="20"/>
          <w:szCs w:val="20"/>
        </w:rPr>
        <w:t>, University of Georgia; Paul Link, Louisiana Department of Wildlife and Fisheries</w:t>
      </w:r>
    </w:p>
    <w:p w14:paraId="70B94270" w14:textId="77777777" w:rsidR="00053CF5" w:rsidRPr="001C5E7D" w:rsidRDefault="00053CF5" w:rsidP="000B7B39">
      <w:pPr>
        <w:pStyle w:val="NormalWeb"/>
        <w:ind w:firstLine="360"/>
        <w:rPr>
          <w:rFonts w:ascii="Arial" w:hAnsi="Arial" w:cs="Arial"/>
          <w:sz w:val="20"/>
          <w:szCs w:val="20"/>
        </w:rPr>
      </w:pPr>
      <w:r w:rsidRPr="001C5E7D">
        <w:rPr>
          <w:rFonts w:ascii="Arial" w:hAnsi="Arial" w:cs="Arial"/>
          <w:sz w:val="20"/>
          <w:szCs w:val="20"/>
        </w:rPr>
        <w:t xml:space="preserve">Since introduction into North America via wild birds in 2021, highly pathogenic (HP) H5N1 avian influenza A (IAV) has spread rapidly in wildlife, with infection confirmed in over 160 avian species, and wild mammals, across North and South America. An expanding list of impacted species highlights the need to better understand the potential seasonal, spatial, and species-related dynamics and risks of HP H5N1 in wildlife. From January 2022 - May 2024, we actively collected cloacal/oropharyngeal (CL/OP) swabs and serum samples from waterfowl and other wild birds in Alaska, Louisiana, Minnesota, Tennessee, and Texas, United States. In collaboration with state, federal, and academic partners, we also received swabs and/or serum from a variety of avian, as well as wild mammalian, species. All CL/OP swabs were screened by </w:t>
      </w:r>
      <w:proofErr w:type="spellStart"/>
      <w:r w:rsidRPr="001C5E7D">
        <w:rPr>
          <w:rFonts w:ascii="Arial" w:hAnsi="Arial" w:cs="Arial"/>
          <w:sz w:val="20"/>
          <w:szCs w:val="20"/>
        </w:rPr>
        <w:t>rrt</w:t>
      </w:r>
      <w:proofErr w:type="spellEnd"/>
      <w:r w:rsidRPr="001C5E7D">
        <w:rPr>
          <w:rFonts w:ascii="Arial" w:hAnsi="Arial" w:cs="Arial"/>
          <w:sz w:val="20"/>
          <w:szCs w:val="20"/>
        </w:rPr>
        <w:t xml:space="preserve">-PCR and/or virus isolation; pro- and retrospectively collected sera were screened by </w:t>
      </w:r>
      <w:proofErr w:type="spellStart"/>
      <w:r w:rsidRPr="001C5E7D">
        <w:rPr>
          <w:rFonts w:ascii="Arial" w:hAnsi="Arial" w:cs="Arial"/>
          <w:sz w:val="20"/>
          <w:szCs w:val="20"/>
        </w:rPr>
        <w:t>bELISA</w:t>
      </w:r>
      <w:proofErr w:type="spellEnd"/>
      <w:r w:rsidRPr="001C5E7D">
        <w:rPr>
          <w:rFonts w:ascii="Arial" w:hAnsi="Arial" w:cs="Arial"/>
          <w:sz w:val="20"/>
          <w:szCs w:val="20"/>
        </w:rPr>
        <w:t xml:space="preserve"> (antibodies general to IAV), and then subsequently tested by virus neutralization and hemagglutination inhibition to detect antibodies to H5 (2.3.4.4b and North American origin low pathogenicity (LP)), and enzyme-linked lectin assay (antibodies to N1). Thus far, in waterfowl (ducks and geese), the observed patterns, as related to prevalence of HP H5N1 and resultant immunologic responses, are similar to the seasonal dynamics of LP IAV which are driven by population immunity. In other species for which LP IAV trends have not been well-defined, such as bald eagles and black vultures, serologic evidence supports potential resiliency in some populations after initial exposure to HP H5N1. Continued virologic monitoring of wildlife species, inclusive of both LP and HP IAV, is key to helping definite viral prevalence and diversity; however, the context that serologic monitoring provides is critical to understanding the potential trajectory of HP H5N1 across North America.</w:t>
      </w:r>
    </w:p>
    <w:p w14:paraId="66CE0BEA" w14:textId="7A773AAD" w:rsidR="00053CF5" w:rsidRPr="000B7B39" w:rsidRDefault="00053CF5" w:rsidP="00053CF5">
      <w:pPr>
        <w:contextualSpacing/>
        <w:rPr>
          <w:b/>
          <w:bCs/>
          <w:shd w:val="clear" w:color="auto" w:fill="FFFFFF"/>
        </w:rPr>
      </w:pPr>
      <w:r w:rsidRPr="0062567D">
        <w:rPr>
          <w:b/>
          <w:bCs/>
          <w:shd w:val="clear" w:color="auto" w:fill="FFFFFF"/>
        </w:rPr>
        <w:t xml:space="preserve">Lessons Learned, Elk </w:t>
      </w:r>
      <w:proofErr w:type="spellStart"/>
      <w:r w:rsidRPr="0062567D">
        <w:rPr>
          <w:b/>
          <w:bCs/>
          <w:shd w:val="clear" w:color="auto" w:fill="FFFFFF"/>
        </w:rPr>
        <w:t>Feedgrounds</w:t>
      </w:r>
      <w:proofErr w:type="spellEnd"/>
      <w:r w:rsidRPr="0062567D">
        <w:rPr>
          <w:b/>
          <w:bCs/>
          <w:shd w:val="clear" w:color="auto" w:fill="FFFFFF"/>
        </w:rPr>
        <w:t xml:space="preserve"> in Wyoming</w:t>
      </w:r>
    </w:p>
    <w:p w14:paraId="09ABFA8F" w14:textId="7014EC2A" w:rsidR="00053CF5" w:rsidRPr="001C5E7D" w:rsidRDefault="00053CF5" w:rsidP="00053CF5">
      <w:pPr>
        <w:rPr>
          <w:bCs/>
          <w:i/>
          <w:iCs/>
          <w:shd w:val="clear" w:color="auto" w:fill="FFFFFF"/>
        </w:rPr>
      </w:pPr>
      <w:r w:rsidRPr="001C5E7D">
        <w:rPr>
          <w:shd w:val="clear" w:color="auto" w:fill="FFFFFF"/>
        </w:rPr>
        <w:t>Samantha Allen, Wyoming Game &amp; Fish Department</w:t>
      </w:r>
    </w:p>
    <w:p w14:paraId="25B7FEAB" w14:textId="77777777" w:rsidR="00053CF5" w:rsidRPr="001C5E7D" w:rsidRDefault="00053CF5" w:rsidP="00053CF5">
      <w:pPr>
        <w:rPr>
          <w:rFonts w:ascii="Aptos" w:hAnsi="Aptos"/>
          <w:shd w:val="clear" w:color="auto" w:fill="FFFFFF"/>
        </w:rPr>
      </w:pPr>
    </w:p>
    <w:p w14:paraId="2CD11709" w14:textId="50D7DF2B" w:rsidR="00053CF5" w:rsidRPr="000B7B39" w:rsidRDefault="00053CF5" w:rsidP="001869BA">
      <w:pPr>
        <w:ind w:firstLine="360"/>
        <w:rPr>
          <w:rStyle w:val="Hyperlink"/>
          <w:color w:val="auto"/>
          <w:u w:val="none"/>
          <w:shd w:val="clear" w:color="auto" w:fill="FFFFFF"/>
        </w:rPr>
      </w:pPr>
      <w:r w:rsidRPr="001C5E7D">
        <w:rPr>
          <w:shd w:val="clear" w:color="auto" w:fill="FFFFFF"/>
        </w:rPr>
        <w:t xml:space="preserve">In 2018, the Wyoming Game and Fish Department (WGFD)’s Commission directed the WGFD to develop a statewide chronic wasting disease (CWD) Plan. During this process it became apparent that the elk </w:t>
      </w:r>
      <w:proofErr w:type="spellStart"/>
      <w:r w:rsidRPr="001C5E7D">
        <w:rPr>
          <w:shd w:val="clear" w:color="auto" w:fill="FFFFFF"/>
        </w:rPr>
        <w:t>feedground</w:t>
      </w:r>
      <w:proofErr w:type="spellEnd"/>
      <w:r w:rsidRPr="001C5E7D">
        <w:rPr>
          <w:shd w:val="clear" w:color="auto" w:fill="FFFFFF"/>
        </w:rPr>
        <w:t xml:space="preserve"> system was too complex to tackle and incorporate into the CWD plan. After the CWD plan was approved in 2020, the WGFD Commission directed the Department to develop a new plan/process which would be specific to </w:t>
      </w:r>
      <w:proofErr w:type="spellStart"/>
      <w:r w:rsidRPr="001C5E7D">
        <w:rPr>
          <w:shd w:val="clear" w:color="auto" w:fill="FFFFFF"/>
        </w:rPr>
        <w:t>feedgrounds</w:t>
      </w:r>
      <w:proofErr w:type="spellEnd"/>
      <w:r w:rsidRPr="001C5E7D">
        <w:rPr>
          <w:shd w:val="clear" w:color="auto" w:fill="FFFFFF"/>
        </w:rPr>
        <w:t xml:space="preserve">, called “Elk </w:t>
      </w:r>
      <w:proofErr w:type="spellStart"/>
      <w:r w:rsidRPr="001C5E7D">
        <w:rPr>
          <w:shd w:val="clear" w:color="auto" w:fill="FFFFFF"/>
        </w:rPr>
        <w:t>feedgrounds</w:t>
      </w:r>
      <w:proofErr w:type="spellEnd"/>
      <w:r w:rsidRPr="001C5E7D">
        <w:rPr>
          <w:shd w:val="clear" w:color="auto" w:fill="FFFFFF"/>
        </w:rPr>
        <w:t xml:space="preserve">: A Challenge We Can Take On”. The process was collaborative in nature, consisting of a steering team of internal Department personnel, and a large-scale public/stakeholder group all facilitated by a third-party. The </w:t>
      </w:r>
      <w:r w:rsidR="004005E2" w:rsidRPr="001C5E7D">
        <w:rPr>
          <w:shd w:val="clear" w:color="auto" w:fill="FFFFFF"/>
        </w:rPr>
        <w:t>goal</w:t>
      </w:r>
      <w:r w:rsidRPr="001C5E7D">
        <w:rPr>
          <w:shd w:val="clear" w:color="auto" w:fill="FFFFFF"/>
        </w:rPr>
        <w:t xml:space="preserve"> was to consider all biological, social, economic and political issues, along with wildlife diseases, to achieve a durable long-term </w:t>
      </w:r>
      <w:proofErr w:type="spellStart"/>
      <w:r w:rsidRPr="001C5E7D">
        <w:rPr>
          <w:shd w:val="clear" w:color="auto" w:fill="FFFFFF"/>
        </w:rPr>
        <w:t>feedground</w:t>
      </w:r>
      <w:proofErr w:type="spellEnd"/>
      <w:r w:rsidRPr="001C5E7D">
        <w:rPr>
          <w:shd w:val="clear" w:color="auto" w:fill="FFFFFF"/>
        </w:rPr>
        <w:t xml:space="preserve"> management plan informed by a public-process for the Department-operated </w:t>
      </w:r>
      <w:proofErr w:type="spellStart"/>
      <w:r w:rsidRPr="001C5E7D">
        <w:rPr>
          <w:shd w:val="clear" w:color="auto" w:fill="FFFFFF"/>
        </w:rPr>
        <w:t>feedgrounds</w:t>
      </w:r>
      <w:proofErr w:type="spellEnd"/>
      <w:r w:rsidRPr="001C5E7D">
        <w:rPr>
          <w:shd w:val="clear" w:color="auto" w:fill="FFFFFF"/>
        </w:rPr>
        <w:t xml:space="preserve">. The Wyoming Elk </w:t>
      </w:r>
      <w:proofErr w:type="spellStart"/>
      <w:r w:rsidRPr="001C5E7D">
        <w:rPr>
          <w:shd w:val="clear" w:color="auto" w:fill="FFFFFF"/>
        </w:rPr>
        <w:t>Feedground</w:t>
      </w:r>
      <w:proofErr w:type="spellEnd"/>
      <w:r w:rsidRPr="001C5E7D">
        <w:rPr>
          <w:shd w:val="clear" w:color="auto" w:fill="FFFFFF"/>
        </w:rPr>
        <w:t xml:space="preserve"> Management Plan was approved, in 2024, by the WGFD Commission.</w:t>
      </w:r>
      <w:r w:rsidR="000B7B39">
        <w:rPr>
          <w:shd w:val="clear" w:color="auto" w:fill="FFFFFF"/>
        </w:rPr>
        <w:t xml:space="preserve"> </w:t>
      </w:r>
      <w:r w:rsidRPr="001C5E7D">
        <w:rPr>
          <w:shd w:val="clear" w:color="auto" w:fill="FFFFFF"/>
        </w:rPr>
        <w:t>For more information on the plan and the process please see: </w:t>
      </w:r>
      <w:hyperlink r:id="rId4" w:tgtFrame="_blank" w:history="1">
        <w:r w:rsidRPr="001C5E7D">
          <w:rPr>
            <w:rStyle w:val="Hyperlink"/>
            <w:rFonts w:cs="Arial"/>
            <w:shd w:val="clear" w:color="auto" w:fill="FFFFFF"/>
          </w:rPr>
          <w:t>https://wgfd.wyo.gov/get-involved/public-working-groups/elk-feedgrounds</w:t>
        </w:r>
      </w:hyperlink>
    </w:p>
    <w:p w14:paraId="6C6D90F4" w14:textId="77777777" w:rsidR="00053CF5" w:rsidRPr="001C5E7D" w:rsidRDefault="00053CF5" w:rsidP="00053CF5">
      <w:pPr>
        <w:rPr>
          <w:shd w:val="clear" w:color="auto" w:fill="FFFFFF"/>
        </w:rPr>
      </w:pPr>
    </w:p>
    <w:p w14:paraId="425ED4EE" w14:textId="77777777" w:rsidR="00053CF5" w:rsidRDefault="00053CF5" w:rsidP="00053CF5">
      <w:pPr>
        <w:rPr>
          <w:rFonts w:ascii="Aptos" w:hAnsi="Aptos"/>
          <w:highlight w:val="yellow"/>
          <w:shd w:val="clear" w:color="auto" w:fill="FFFFFF"/>
        </w:rPr>
      </w:pPr>
    </w:p>
    <w:p w14:paraId="79BEC9D9" w14:textId="09397D79" w:rsidR="00053CF5" w:rsidRPr="000B7B39" w:rsidRDefault="00053CF5" w:rsidP="00053CF5">
      <w:pPr>
        <w:rPr>
          <w:b/>
          <w:bCs/>
          <w:i/>
          <w:iCs/>
          <w:shd w:val="clear" w:color="auto" w:fill="FFFFFF"/>
        </w:rPr>
      </w:pPr>
      <w:r w:rsidRPr="00550903">
        <w:rPr>
          <w:b/>
          <w:bCs/>
          <w:iCs/>
          <w:shd w:val="clear" w:color="auto" w:fill="FFFFFF"/>
        </w:rPr>
        <w:t>Overview of the A</w:t>
      </w:r>
      <w:r w:rsidR="00E10977">
        <w:rPr>
          <w:b/>
          <w:bCs/>
          <w:iCs/>
          <w:shd w:val="clear" w:color="auto" w:fill="FFFFFF"/>
        </w:rPr>
        <w:t>merican Veterinary Medical Association (AVMA)</w:t>
      </w:r>
      <w:r w:rsidRPr="00550903">
        <w:rPr>
          <w:b/>
          <w:bCs/>
          <w:iCs/>
          <w:shd w:val="clear" w:color="auto" w:fill="FFFFFF"/>
        </w:rPr>
        <w:t xml:space="preserve"> Guidelines for the Depopulation of Animals and the Review and Revision Process</w:t>
      </w:r>
      <w:r w:rsidRPr="00550903">
        <w:rPr>
          <w:b/>
          <w:bCs/>
          <w:i/>
          <w:iCs/>
          <w:shd w:val="clear" w:color="auto" w:fill="FFFFFF"/>
        </w:rPr>
        <w:t xml:space="preserve"> </w:t>
      </w:r>
    </w:p>
    <w:p w14:paraId="27528F95" w14:textId="51B80353" w:rsidR="00053CF5" w:rsidRPr="001C5E7D" w:rsidRDefault="00053CF5" w:rsidP="00053CF5">
      <w:pPr>
        <w:rPr>
          <w:iCs/>
          <w:shd w:val="clear" w:color="auto" w:fill="FFFFFF"/>
        </w:rPr>
      </w:pPr>
      <w:r w:rsidRPr="001C5E7D">
        <w:rPr>
          <w:iCs/>
          <w:shd w:val="clear" w:color="auto" w:fill="FFFFFF"/>
        </w:rPr>
        <w:t>Dr</w:t>
      </w:r>
      <w:r w:rsidR="000B7B39">
        <w:rPr>
          <w:iCs/>
          <w:shd w:val="clear" w:color="auto" w:fill="FFFFFF"/>
        </w:rPr>
        <w:t xml:space="preserve">. </w:t>
      </w:r>
      <w:r w:rsidRPr="001C5E7D">
        <w:rPr>
          <w:iCs/>
          <w:shd w:val="clear" w:color="auto" w:fill="FFFFFF"/>
        </w:rPr>
        <w:t>Cia Johnson, AVMA; Dr. Mark Drew, A</w:t>
      </w:r>
      <w:r>
        <w:rPr>
          <w:iCs/>
          <w:shd w:val="clear" w:color="auto" w:fill="FFFFFF"/>
        </w:rPr>
        <w:t>merican Association of Zoo Veterinarians (AAZV)</w:t>
      </w:r>
    </w:p>
    <w:p w14:paraId="255B0373" w14:textId="77777777" w:rsidR="00053CF5" w:rsidRPr="001C5E7D" w:rsidRDefault="00053CF5" w:rsidP="00053CF5">
      <w:pPr>
        <w:rPr>
          <w:shd w:val="clear" w:color="auto" w:fill="FFFFFF"/>
        </w:rPr>
      </w:pPr>
    </w:p>
    <w:p w14:paraId="2FA00EB9" w14:textId="0A3ADB9C" w:rsidR="00053CF5" w:rsidRPr="001C5E7D" w:rsidRDefault="00053CF5" w:rsidP="000B7B39">
      <w:pPr>
        <w:ind w:firstLine="360"/>
        <w:rPr>
          <w:shd w:val="clear" w:color="auto" w:fill="FFFFFF"/>
        </w:rPr>
      </w:pPr>
      <w:r w:rsidRPr="001C5E7D">
        <w:rPr>
          <w:shd w:val="clear" w:color="auto" w:fill="FFFFFF"/>
        </w:rPr>
        <w:t>Stemming from discussions of the Panel on Euthanasia, the AVMA convened its Panel on Depopulation (POD) for the first time in 2015. The subsequent AVMA Guidelines for the Depopulation of Animals (2019) </w:t>
      </w:r>
      <w:r w:rsidR="004005E2" w:rsidRPr="001C5E7D">
        <w:rPr>
          <w:shd w:val="clear" w:color="auto" w:fill="FFFFFF"/>
        </w:rPr>
        <w:t>reflect</w:t>
      </w:r>
      <w:r w:rsidRPr="001C5E7D">
        <w:rPr>
          <w:shd w:val="clear" w:color="auto" w:fill="FFFFFF"/>
        </w:rPr>
        <w:t xml:space="preserve"> the AVMA’s on-going commitment to ensure that the treatment of animals during every stage of life, including during emergency</w:t>
      </w:r>
      <w:r>
        <w:rPr>
          <w:shd w:val="clear" w:color="auto" w:fill="FFFFFF"/>
        </w:rPr>
        <w:t xml:space="preserve"> </w:t>
      </w:r>
      <w:r w:rsidRPr="001C5E7D">
        <w:rPr>
          <w:shd w:val="clear" w:color="auto" w:fill="FFFFFF"/>
        </w:rPr>
        <w:t>situations, is respectful and as humane as possible. These Guidelines provide guidance for veterinarians about 1) options for killing animals in emergency situations, and 2) how to prevent or minimize pain and distress in animals that have been designated for depopulation in accordance with clinical standards of care, local, state and federal regulatory bodies and to ensure a quick and effective depopulation process that respects animals, human beings and the environment. The Guidelines define depopulation as: the rapid destruction of a population of animals in response to an emergency situation, which may include disease control, or natural or human-made disaster. The POD developed these Guidelines for use by members of the veterinary profession who are involved in the rapid destruction of a population of animals in response to urgent circumstances with as much consideration given to the welfare of the animals as practicable. This session will cover the AVMA Guidelines for the Depopulation of Animals since its release and the process of review and revision, member comment period, and anticipated publication.</w:t>
      </w:r>
    </w:p>
    <w:p w14:paraId="3C946A99" w14:textId="77777777" w:rsidR="00E10977" w:rsidRDefault="00E10977" w:rsidP="00053CF5">
      <w:pPr>
        <w:spacing w:after="160" w:line="259" w:lineRule="auto"/>
        <w:rPr>
          <w:highlight w:val="yellow"/>
        </w:rPr>
      </w:pPr>
    </w:p>
    <w:p w14:paraId="7BAB308D" w14:textId="77777777" w:rsidR="00053CF5" w:rsidRPr="00550903" w:rsidRDefault="00053CF5" w:rsidP="00053CF5">
      <w:pPr>
        <w:spacing w:after="160" w:line="259" w:lineRule="auto"/>
        <w:contextualSpacing/>
      </w:pPr>
      <w:r w:rsidRPr="00550903">
        <w:rPr>
          <w:b/>
          <w:iCs/>
        </w:rPr>
        <w:t>Utilizing Pathogen Surveys to Investigate Health and Management Strategies for Confiscated Eastern Box Turtles</w:t>
      </w:r>
    </w:p>
    <w:p w14:paraId="717289C8" w14:textId="77777777" w:rsidR="00053CF5" w:rsidRPr="00550903" w:rsidRDefault="00053CF5" w:rsidP="00053CF5">
      <w:pPr>
        <w:spacing w:after="160" w:line="259" w:lineRule="auto"/>
        <w:contextualSpacing/>
        <w:rPr>
          <w:iCs/>
        </w:rPr>
      </w:pPr>
      <w:r w:rsidRPr="00550903">
        <w:rPr>
          <w:iCs/>
        </w:rPr>
        <w:t>Maris Daleo, University of Illinois Urbana-Champaign</w:t>
      </w:r>
    </w:p>
    <w:p w14:paraId="521CA189" w14:textId="77777777" w:rsidR="00053CF5" w:rsidRPr="00550903" w:rsidRDefault="00053CF5" w:rsidP="00053CF5">
      <w:pPr>
        <w:spacing w:after="160" w:line="259" w:lineRule="auto"/>
        <w:rPr>
          <w:i/>
          <w:iCs/>
        </w:rPr>
      </w:pPr>
      <w:r w:rsidRPr="00550903">
        <w:rPr>
          <w:i/>
          <w:iCs/>
        </w:rPr>
        <w:t>Bob Dittmar Student Travel Award Recipient</w:t>
      </w:r>
    </w:p>
    <w:p w14:paraId="2F6DE38E" w14:textId="5F901452" w:rsidR="00053CF5" w:rsidRDefault="00053CF5" w:rsidP="00246A8F">
      <w:pPr>
        <w:spacing w:after="160" w:line="259" w:lineRule="auto"/>
        <w:ind w:firstLine="360"/>
      </w:pPr>
      <w:r w:rsidRPr="00550903">
        <w:t xml:space="preserve">Reptiles are a group of ectothermic vertebrates facing population declines worldwide. Specifically, turtles and tortoises have declined due to threats like habitat loss, overconsumption from the wildlife trade, and infectious diseases. Infectious diseases are associated with significant morbidity and mortality in eastern box turtles, one of the most numerous North American turtles in the wildlife trade. For example, frog virus 3 (FV3), the type species of </w:t>
      </w:r>
      <w:proofErr w:type="spellStart"/>
      <w:r w:rsidRPr="00550903">
        <w:rPr>
          <w:i/>
          <w:iCs/>
        </w:rPr>
        <w:t>Ranavirus</w:t>
      </w:r>
      <w:proofErr w:type="spellEnd"/>
      <w:r w:rsidRPr="00550903">
        <w:t xml:space="preserve">, has been associated with multiple box turtle mortality events. Box turtle </w:t>
      </w:r>
      <w:r w:rsidRPr="00550903">
        <w:rPr>
          <w:i/>
          <w:iCs/>
        </w:rPr>
        <w:t>Mycoplasma</w:t>
      </w:r>
      <w:r w:rsidRPr="00550903">
        <w:t xml:space="preserve"> sp. is associated with moderate morbidity and low mortality, while </w:t>
      </w:r>
      <w:r w:rsidRPr="00550903">
        <w:rPr>
          <w:i/>
          <w:iCs/>
        </w:rPr>
        <w:t>Terrapene</w:t>
      </w:r>
      <w:r w:rsidRPr="00550903">
        <w:t xml:space="preserve"> herpesvirus 1 (TerHV1) and </w:t>
      </w:r>
      <w:r w:rsidRPr="00550903">
        <w:rPr>
          <w:i/>
          <w:iCs/>
        </w:rPr>
        <w:t>Terrapene</w:t>
      </w:r>
      <w:r w:rsidRPr="00550903">
        <w:t xml:space="preserve"> adenoviruses (</w:t>
      </w:r>
      <w:proofErr w:type="spellStart"/>
      <w:r w:rsidRPr="00550903">
        <w:t>TerAdv</w:t>
      </w:r>
      <w:proofErr w:type="spellEnd"/>
      <w:r w:rsidRPr="00550903">
        <w:t xml:space="preserve">) are less commonly associated with overt disease. This study uses novel diagnostic techniques to characterize the dynamics of these four pathogens in confiscated box turtles while considering time and temperature variations. Seventeen confiscated turtles were kept at the University of Illinois and surveyed for FV3, TerHV1, </w:t>
      </w:r>
      <w:proofErr w:type="spellStart"/>
      <w:r w:rsidRPr="00550903">
        <w:t>TerAdv</w:t>
      </w:r>
      <w:proofErr w:type="spellEnd"/>
      <w:r w:rsidRPr="00550903">
        <w:t xml:space="preserve">, and box turtle </w:t>
      </w:r>
      <w:r w:rsidRPr="00550903">
        <w:rPr>
          <w:i/>
          <w:iCs/>
        </w:rPr>
        <w:t xml:space="preserve">Mycoplasma </w:t>
      </w:r>
      <w:r w:rsidRPr="00550903">
        <w:t xml:space="preserve">sp. for 13 months. A multiplex qPCR assay was developed to detect the four pathogens within a single DNA sample. Occupancy models were used to determine unbiased pathogen prevalence and detection probabilities for infected turtles and the unbiased pathogen prevalence of potential recipient populations. These detection probabilities were then used to determine accurate sampling protocols. During the year, confiscated pathogen prevalence values varied between months, with no turtle testing positive for FV3. Observed pathogen prevalence values were within 10% of unbiased prevalence estimates; however, the probability of detecting TerHV1, </w:t>
      </w:r>
      <w:proofErr w:type="spellStart"/>
      <w:r w:rsidRPr="00550903">
        <w:t>TerAdv</w:t>
      </w:r>
      <w:proofErr w:type="spellEnd"/>
      <w:r w:rsidRPr="00550903">
        <w:t xml:space="preserve">, and </w:t>
      </w:r>
      <w:r w:rsidRPr="00550903">
        <w:rPr>
          <w:i/>
          <w:iCs/>
        </w:rPr>
        <w:t>Mycoplasma</w:t>
      </w:r>
      <w:r w:rsidRPr="00550903">
        <w:t xml:space="preserve"> sp. in an infected turtle during a given month was only 32.7%, 21.2%, and 49.9%, respectfully.  After 13 months, the surviving turtles were transferred into an indoor temperature-controlled chamber to investigate pathogen-shedding patterns at different temperatures and were sampled for all four pathogens weekly. There was increased pathogen shedding at higher temperatures compared to when kept at lower temperatures. There also was an increase in sensitivity when sampling turtles every third week compared to every other week using cloacal/oral swabs. This study provides evidence-based sampling strategies to maximize the odds of identifying individuals infected with common box turtle pathogens. These findings have implications for the design and interpretation of research studies and clinical management of box turtles in managed care and can inform placement and release decisions during confiscation events.</w:t>
      </w:r>
    </w:p>
    <w:p w14:paraId="25BF8FCF" w14:textId="77777777" w:rsidR="00053CF5" w:rsidRDefault="00053CF5" w:rsidP="00053CF5">
      <w:pPr>
        <w:ind w:firstLine="360"/>
      </w:pPr>
    </w:p>
    <w:p w14:paraId="3D7D2208" w14:textId="71556E7D" w:rsidR="00053CF5" w:rsidRDefault="00053CF5" w:rsidP="00053CF5">
      <w:pPr>
        <w:rPr>
          <w:b/>
          <w:bCs/>
        </w:rPr>
      </w:pPr>
      <w:r w:rsidRPr="00550903">
        <w:rPr>
          <w:b/>
          <w:bCs/>
        </w:rPr>
        <w:t xml:space="preserve">Committee Business: </w:t>
      </w:r>
    </w:p>
    <w:p w14:paraId="44D20FAD" w14:textId="45E51DCA" w:rsidR="00053CF5" w:rsidRDefault="00053CF5" w:rsidP="00246A8F">
      <w:pPr>
        <w:ind w:firstLine="360"/>
        <w:rPr>
          <w:iCs/>
        </w:rPr>
      </w:pPr>
      <w:r w:rsidRPr="00550903">
        <w:rPr>
          <w:iCs/>
        </w:rPr>
        <w:t xml:space="preserve">The Committee briefly revisited Committee resolutions from previous years, including 2019 (Resolution 24) and 2022 (Resolution 30). The responses and/or updated responses to these resolutions </w:t>
      </w:r>
      <w:r w:rsidRPr="00550903">
        <w:rPr>
          <w:iCs/>
        </w:rPr>
        <w:lastRenderedPageBreak/>
        <w:t>were highlighted. The committee plans to revisit these topics during the 2025 meeting. The committee considered one resolution that was presented for consideration (Controlled study to evaluate genetic influence on CWD in white-tailed deer).</w:t>
      </w:r>
      <w:r w:rsidRPr="00550903">
        <w:rPr>
          <w:b/>
          <w:iCs/>
        </w:rPr>
        <w:t xml:space="preserve"> </w:t>
      </w:r>
      <w:r w:rsidRPr="00550903">
        <w:rPr>
          <w:iCs/>
        </w:rPr>
        <w:t>The resolution was discussed</w:t>
      </w:r>
      <w:r w:rsidR="00F44FD2">
        <w:rPr>
          <w:iCs/>
        </w:rPr>
        <w:t xml:space="preserve"> and no changes to the resolution were proposed</w:t>
      </w:r>
      <w:r w:rsidRPr="00550903">
        <w:rPr>
          <w:iCs/>
        </w:rPr>
        <w:t>.</w:t>
      </w:r>
      <w:r w:rsidR="00F44FD2">
        <w:rPr>
          <w:iCs/>
        </w:rPr>
        <w:t xml:space="preserve"> </w:t>
      </w:r>
      <w:r w:rsidR="00246A8F">
        <w:rPr>
          <w:iCs/>
        </w:rPr>
        <w:t>It is noteworthy that a virtual Committee Meeting was held on September 27, 2024, to discuss this resolution prior to the in-person meeting. Twenty committee members were present. Following discussion at the in-person meeting, t</w:t>
      </w:r>
      <w:r w:rsidR="00F44FD2">
        <w:rPr>
          <w:iCs/>
        </w:rPr>
        <w:t>he resolution passed with 19 members voting “Y</w:t>
      </w:r>
      <w:r w:rsidR="00246A8F">
        <w:rPr>
          <w:iCs/>
        </w:rPr>
        <w:t>es</w:t>
      </w:r>
      <w:r w:rsidR="00F44FD2">
        <w:rPr>
          <w:iCs/>
        </w:rPr>
        <w:t>” and 7 members voting “N</w:t>
      </w:r>
      <w:r w:rsidR="00246A8F">
        <w:rPr>
          <w:iCs/>
        </w:rPr>
        <w:t>o</w:t>
      </w:r>
      <w:r w:rsidR="00F44FD2">
        <w:rPr>
          <w:iCs/>
        </w:rPr>
        <w:t>.”</w:t>
      </w:r>
      <w:r>
        <w:rPr>
          <w:iCs/>
        </w:rPr>
        <w:t xml:space="preserve"> </w:t>
      </w:r>
      <w:r w:rsidR="00246A8F">
        <w:rPr>
          <w:iCs/>
        </w:rPr>
        <w:t>Numerous members abstained.</w:t>
      </w:r>
    </w:p>
    <w:p w14:paraId="371B3311" w14:textId="77777777" w:rsidR="00597875" w:rsidRDefault="00597875"/>
    <w:sectPr w:rsidR="005978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CF5"/>
    <w:rsid w:val="00053CF5"/>
    <w:rsid w:val="000B7B39"/>
    <w:rsid w:val="00152E8A"/>
    <w:rsid w:val="001869BA"/>
    <w:rsid w:val="00246A8F"/>
    <w:rsid w:val="0035471E"/>
    <w:rsid w:val="003838BC"/>
    <w:rsid w:val="004005E2"/>
    <w:rsid w:val="004B29A5"/>
    <w:rsid w:val="00597875"/>
    <w:rsid w:val="00657392"/>
    <w:rsid w:val="006B7A0F"/>
    <w:rsid w:val="006E09A3"/>
    <w:rsid w:val="0071597F"/>
    <w:rsid w:val="008A3B82"/>
    <w:rsid w:val="00B609F4"/>
    <w:rsid w:val="00CE42A6"/>
    <w:rsid w:val="00E10977"/>
    <w:rsid w:val="00F44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BABB1"/>
  <w15:chartTrackingRefBased/>
  <w15:docId w15:val="{EDD4D1A8-C0CF-4832-B3CF-C4748D499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CF5"/>
    <w:pPr>
      <w:spacing w:after="0" w:line="240" w:lineRule="auto"/>
    </w:pPr>
    <w:rPr>
      <w:rFonts w:ascii="Arial" w:hAnsi="Arial" w:cs="Times New Roman"/>
      <w:sz w:val="20"/>
      <w:szCs w:val="20"/>
    </w:rPr>
  </w:style>
  <w:style w:type="paragraph" w:styleId="Heading1">
    <w:name w:val="heading 1"/>
    <w:aliases w:val="Proc Heading"/>
    <w:basedOn w:val="Normal"/>
    <w:next w:val="Normal"/>
    <w:link w:val="Heading1Char"/>
    <w:qFormat/>
    <w:rsid w:val="00053CF5"/>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3CF5"/>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3CF5"/>
    <w:pPr>
      <w:keepNext/>
      <w:keepLines/>
      <w:spacing w:before="160" w:after="80" w:line="259"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3CF5"/>
    <w:pPr>
      <w:keepNext/>
      <w:keepLines/>
      <w:spacing w:before="80" w:after="40" w:line="259" w:lineRule="auto"/>
      <w:outlineLvl w:val="3"/>
    </w:pPr>
    <w:rPr>
      <w:rFonts w:asciiTheme="minorHAnsi" w:eastAsiaTheme="majorEastAsia" w:hAnsiTheme="minorHAnsi"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053CF5"/>
    <w:pPr>
      <w:keepNext/>
      <w:keepLines/>
      <w:spacing w:before="80" w:after="40" w:line="259" w:lineRule="auto"/>
      <w:outlineLvl w:val="4"/>
    </w:pPr>
    <w:rPr>
      <w:rFonts w:asciiTheme="minorHAnsi" w:eastAsiaTheme="majorEastAsia" w:hAnsiTheme="minorHAnsi"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053CF5"/>
    <w:pPr>
      <w:keepNext/>
      <w:keepLines/>
      <w:spacing w:before="40" w:line="259" w:lineRule="auto"/>
      <w:outlineLvl w:val="5"/>
    </w:pPr>
    <w:rPr>
      <w:rFonts w:asciiTheme="minorHAnsi" w:eastAsiaTheme="majorEastAsia" w:hAnsiTheme="minorHAnsi"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053CF5"/>
    <w:pPr>
      <w:keepNext/>
      <w:keepLines/>
      <w:spacing w:before="40" w:line="259" w:lineRule="auto"/>
      <w:outlineLvl w:val="6"/>
    </w:pPr>
    <w:rPr>
      <w:rFonts w:asciiTheme="minorHAnsi" w:eastAsiaTheme="majorEastAsia" w:hAnsiTheme="minorHAnsi"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053CF5"/>
    <w:pPr>
      <w:keepNext/>
      <w:keepLines/>
      <w:spacing w:line="259" w:lineRule="auto"/>
      <w:outlineLvl w:val="7"/>
    </w:pPr>
    <w:rPr>
      <w:rFonts w:asciiTheme="minorHAnsi" w:eastAsiaTheme="majorEastAsia" w:hAnsiTheme="minorHAnsi"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053CF5"/>
    <w:pPr>
      <w:keepNext/>
      <w:keepLines/>
      <w:spacing w:line="259" w:lineRule="auto"/>
      <w:outlineLvl w:val="8"/>
    </w:pPr>
    <w:rPr>
      <w:rFonts w:asciiTheme="minorHAnsi" w:eastAsiaTheme="majorEastAsia" w:hAnsiTheme="minorHAnsi"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roc Heading Char"/>
    <w:basedOn w:val="DefaultParagraphFont"/>
    <w:link w:val="Heading1"/>
    <w:rsid w:val="00053C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3C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3C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3C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3C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3C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3C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3C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3CF5"/>
    <w:rPr>
      <w:rFonts w:eastAsiaTheme="majorEastAsia" w:cstheme="majorBidi"/>
      <w:color w:val="272727" w:themeColor="text1" w:themeTint="D8"/>
    </w:rPr>
  </w:style>
  <w:style w:type="paragraph" w:styleId="Title">
    <w:name w:val="Title"/>
    <w:basedOn w:val="Normal"/>
    <w:next w:val="Normal"/>
    <w:link w:val="TitleChar"/>
    <w:uiPriority w:val="10"/>
    <w:qFormat/>
    <w:rsid w:val="00053CF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3C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3CF5"/>
    <w:pPr>
      <w:numPr>
        <w:ilvl w:val="1"/>
      </w:numPr>
      <w:spacing w:after="160" w:line="259"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3C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3CF5"/>
    <w:pPr>
      <w:spacing w:before="160" w:after="160" w:line="259" w:lineRule="auto"/>
      <w:jc w:val="center"/>
    </w:pPr>
    <w:rPr>
      <w:rFonts w:asciiTheme="minorHAnsi" w:hAnsiTheme="minorHAnsi" w:cstheme="minorBidi"/>
      <w:i/>
      <w:iCs/>
      <w:color w:val="404040" w:themeColor="text1" w:themeTint="BF"/>
      <w:sz w:val="22"/>
      <w:szCs w:val="22"/>
    </w:rPr>
  </w:style>
  <w:style w:type="character" w:customStyle="1" w:styleId="QuoteChar">
    <w:name w:val="Quote Char"/>
    <w:basedOn w:val="DefaultParagraphFont"/>
    <w:link w:val="Quote"/>
    <w:uiPriority w:val="29"/>
    <w:rsid w:val="00053CF5"/>
    <w:rPr>
      <w:i/>
      <w:iCs/>
      <w:color w:val="404040" w:themeColor="text1" w:themeTint="BF"/>
    </w:rPr>
  </w:style>
  <w:style w:type="paragraph" w:styleId="ListParagraph">
    <w:name w:val="List Paragraph"/>
    <w:basedOn w:val="Normal"/>
    <w:uiPriority w:val="34"/>
    <w:qFormat/>
    <w:rsid w:val="00053CF5"/>
    <w:pPr>
      <w:spacing w:after="160" w:line="259" w:lineRule="auto"/>
      <w:ind w:left="720"/>
      <w:contextualSpacing/>
    </w:pPr>
    <w:rPr>
      <w:rFonts w:asciiTheme="minorHAnsi" w:hAnsiTheme="minorHAnsi" w:cstheme="minorBidi"/>
      <w:sz w:val="22"/>
      <w:szCs w:val="22"/>
    </w:rPr>
  </w:style>
  <w:style w:type="character" w:styleId="IntenseEmphasis">
    <w:name w:val="Intense Emphasis"/>
    <w:basedOn w:val="DefaultParagraphFont"/>
    <w:uiPriority w:val="21"/>
    <w:qFormat/>
    <w:rsid w:val="00053CF5"/>
    <w:rPr>
      <w:i/>
      <w:iCs/>
      <w:color w:val="0F4761" w:themeColor="accent1" w:themeShade="BF"/>
    </w:rPr>
  </w:style>
  <w:style w:type="paragraph" w:styleId="IntenseQuote">
    <w:name w:val="Intense Quote"/>
    <w:basedOn w:val="Normal"/>
    <w:next w:val="Normal"/>
    <w:link w:val="IntenseQuoteChar"/>
    <w:uiPriority w:val="30"/>
    <w:qFormat/>
    <w:rsid w:val="00053CF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sz w:val="22"/>
      <w:szCs w:val="22"/>
    </w:rPr>
  </w:style>
  <w:style w:type="character" w:customStyle="1" w:styleId="IntenseQuoteChar">
    <w:name w:val="Intense Quote Char"/>
    <w:basedOn w:val="DefaultParagraphFont"/>
    <w:link w:val="IntenseQuote"/>
    <w:uiPriority w:val="30"/>
    <w:rsid w:val="00053CF5"/>
    <w:rPr>
      <w:i/>
      <w:iCs/>
      <w:color w:val="0F4761" w:themeColor="accent1" w:themeShade="BF"/>
    </w:rPr>
  </w:style>
  <w:style w:type="character" w:styleId="IntenseReference">
    <w:name w:val="Intense Reference"/>
    <w:basedOn w:val="DefaultParagraphFont"/>
    <w:uiPriority w:val="32"/>
    <w:qFormat/>
    <w:rsid w:val="00053CF5"/>
    <w:rPr>
      <w:b/>
      <w:bCs/>
      <w:smallCaps/>
      <w:color w:val="0F4761" w:themeColor="accent1" w:themeShade="BF"/>
      <w:spacing w:val="5"/>
    </w:rPr>
  </w:style>
  <w:style w:type="character" w:styleId="Hyperlink">
    <w:name w:val="Hyperlink"/>
    <w:uiPriority w:val="99"/>
    <w:unhideWhenUsed/>
    <w:rsid w:val="00053CF5"/>
    <w:rPr>
      <w:color w:val="0000FF"/>
      <w:u w:val="single"/>
    </w:rPr>
  </w:style>
  <w:style w:type="paragraph" w:styleId="NormalWeb">
    <w:name w:val="Normal (Web)"/>
    <w:basedOn w:val="Normal"/>
    <w:uiPriority w:val="99"/>
    <w:unhideWhenUsed/>
    <w:rsid w:val="00053CF5"/>
    <w:pPr>
      <w:spacing w:before="100" w:beforeAutospacing="1" w:after="100" w:afterAutospacing="1"/>
    </w:pPr>
    <w:rPr>
      <w:rFonts w:ascii="Times New Roman" w:eastAsia="Times New Roman" w:hAnsi="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gfd.wyo.gov/get-involved/public-working-groups/elk-feedgroun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1369</Words>
  <Characters>7804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Hunter Reed</dc:creator>
  <cp:keywords/>
  <dc:description/>
  <cp:lastModifiedBy>USAHA Guest</cp:lastModifiedBy>
  <cp:revision>2</cp:revision>
  <dcterms:created xsi:type="dcterms:W3CDTF">2024-10-15T19:04:00Z</dcterms:created>
  <dcterms:modified xsi:type="dcterms:W3CDTF">2024-10-15T19:04:00Z</dcterms:modified>
</cp:coreProperties>
</file>