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2A921" w14:textId="233A15B6" w:rsidR="008356A6" w:rsidRDefault="00072A07" w:rsidP="00072A07">
      <w:pPr>
        <w:pStyle w:val="Heading1"/>
      </w:pPr>
      <w:bookmarkStart w:id="0" w:name="_Hlk213088188"/>
      <w:r>
        <w:t xml:space="preserve">COMMITTEE ON </w:t>
      </w:r>
      <w:r w:rsidR="0096374C">
        <w:t>WILDLIFE</w:t>
      </w:r>
      <w:bookmarkEnd w:id="0"/>
    </w:p>
    <w:p w14:paraId="082CFC8C" w14:textId="1FECF931" w:rsidR="00072A07" w:rsidRDefault="00072A07" w:rsidP="00072A07">
      <w:pPr>
        <w:jc w:val="center"/>
      </w:pPr>
      <w:r>
        <w:t>Chair:</w:t>
      </w:r>
      <w:r w:rsidR="0096374C">
        <w:t xml:space="preserve"> Dr. </w:t>
      </w:r>
      <w:r w:rsidR="008D5CF9">
        <w:t>Mark Ruder</w:t>
      </w:r>
    </w:p>
    <w:p w14:paraId="0AAF48FD" w14:textId="17C31216" w:rsidR="00072A07" w:rsidRDefault="00072A07" w:rsidP="00072A07">
      <w:pPr>
        <w:jc w:val="center"/>
      </w:pPr>
      <w:r>
        <w:t>Vice Chair:</w:t>
      </w:r>
      <w:r w:rsidR="0096374C">
        <w:t xml:space="preserve"> Dr. </w:t>
      </w:r>
      <w:r w:rsidR="008D5CF9">
        <w:t>Hunter Reed</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5031EF2A" w:rsidR="0095554B" w:rsidRDefault="0095554B" w:rsidP="0095554B">
      <w:pPr>
        <w:ind w:firstLine="360"/>
      </w:pPr>
      <w:r>
        <w:t xml:space="preserve">The Committee met during the </w:t>
      </w:r>
      <w:r w:rsidR="0096374C">
        <w:t>202</w:t>
      </w:r>
      <w:r w:rsidR="00CB5DB7">
        <w:t>5</w:t>
      </w:r>
      <w:r>
        <w:t xml:space="preserve"> Annual Meeting in </w:t>
      </w:r>
      <w:r w:rsidR="00CB5DB7">
        <w:t>Denver</w:t>
      </w:r>
      <w:r w:rsidR="0096374C">
        <w:t xml:space="preserve">, </w:t>
      </w:r>
      <w:r w:rsidR="00CB5DB7">
        <w:t>Colorado</w:t>
      </w:r>
      <w:r>
        <w:t xml:space="preserve"> on </w:t>
      </w:r>
      <w:r w:rsidR="00CB5DB7">
        <w:t>November 4th</w:t>
      </w:r>
      <w:r>
        <w:t xml:space="preserve">. There were </w:t>
      </w:r>
      <w:r w:rsidR="00CB5DB7" w:rsidRPr="00C4088D">
        <w:rPr>
          <w:b/>
          <w:bCs/>
        </w:rPr>
        <w:t>XXX</w:t>
      </w:r>
      <w:r w:rsidR="00A236B3" w:rsidRPr="00C4088D">
        <w:rPr>
          <w:b/>
          <w:bCs/>
        </w:rPr>
        <w:t xml:space="preserve"> </w:t>
      </w:r>
      <w:r w:rsidR="00A236B3">
        <w:t>people</w:t>
      </w:r>
      <w:r>
        <w:t xml:space="preserve"> in attendance. [Include other pertinent information regarding the beginning of your Committee session such as a review of previous resolutions, introductions, or other notes and announcements.]</w:t>
      </w:r>
    </w:p>
    <w:p w14:paraId="288027D8" w14:textId="77777777" w:rsidR="0095554B" w:rsidRDefault="0095554B" w:rsidP="00BE339E"/>
    <w:p w14:paraId="2EE4518D" w14:textId="0B9E7C39" w:rsidR="0095554B" w:rsidRDefault="0095554B" w:rsidP="0095554B">
      <w:r>
        <w:rPr>
          <w:b/>
          <w:bCs/>
        </w:rPr>
        <w:t>Presentations &amp; Reports</w:t>
      </w:r>
    </w:p>
    <w:p w14:paraId="39353F81" w14:textId="77777777" w:rsidR="0095554B" w:rsidRDefault="0095554B" w:rsidP="0095554B"/>
    <w:p w14:paraId="06C50E8E" w14:textId="487CC4E5" w:rsidR="00154ED8" w:rsidRDefault="00CB5DB7" w:rsidP="0095554B">
      <w:pPr>
        <w:rPr>
          <w:b/>
          <w:bCs/>
        </w:rPr>
      </w:pPr>
      <w:r>
        <w:rPr>
          <w:b/>
          <w:bCs/>
        </w:rPr>
        <w:t>Vector and Pathology Ecology of Wild Pig Wallows in Georgia and South Carolina</w:t>
      </w:r>
    </w:p>
    <w:p w14:paraId="47051879" w14:textId="0BEB9AAC" w:rsidR="00154ED8" w:rsidRDefault="00092FC4" w:rsidP="0095554B">
      <w:pPr>
        <w:rPr>
          <w:bCs/>
        </w:rPr>
      </w:pPr>
      <w:r>
        <w:rPr>
          <w:bCs/>
        </w:rPr>
        <w:t xml:space="preserve">Dr. </w:t>
      </w:r>
      <w:r w:rsidR="00CB5DB7">
        <w:rPr>
          <w:bCs/>
        </w:rPr>
        <w:t xml:space="preserve">Taylor </w:t>
      </w:r>
      <w:r w:rsidR="00C70183">
        <w:rPr>
          <w:bCs/>
        </w:rPr>
        <w:t xml:space="preserve">A. </w:t>
      </w:r>
      <w:r w:rsidR="00CB5DB7">
        <w:rPr>
          <w:bCs/>
        </w:rPr>
        <w:t>Fisher, Southeastern Cooperative Wildlife Disease Study</w:t>
      </w:r>
      <w:r w:rsidR="00C70183">
        <w:rPr>
          <w:bCs/>
        </w:rPr>
        <w:t>, University of Georgia</w:t>
      </w:r>
    </w:p>
    <w:p w14:paraId="7162BBA5" w14:textId="2ED5CC54" w:rsidR="00126A90" w:rsidRPr="00FF4E21" w:rsidRDefault="00126A90" w:rsidP="0095554B">
      <w:pPr>
        <w:rPr>
          <w:b/>
          <w:bCs/>
          <w:i/>
        </w:rPr>
      </w:pPr>
      <w:r w:rsidRPr="00FF4E21">
        <w:rPr>
          <w:b/>
          <w:bCs/>
          <w:i/>
        </w:rPr>
        <w:t>Bob Dittmar Student Travel Award Recip</w:t>
      </w:r>
      <w:r w:rsidR="00C70183" w:rsidRPr="00FF4E21">
        <w:rPr>
          <w:b/>
          <w:bCs/>
          <w:i/>
        </w:rPr>
        <w:t>ient</w:t>
      </w:r>
    </w:p>
    <w:p w14:paraId="675D6ECD" w14:textId="77777777" w:rsidR="004A536D" w:rsidRDefault="004A536D" w:rsidP="0095554B">
      <w:pPr>
        <w:rPr>
          <w:bCs/>
        </w:rPr>
      </w:pPr>
    </w:p>
    <w:p w14:paraId="736AADA4" w14:textId="24CCD62E" w:rsidR="00C70183" w:rsidRDefault="00C70183" w:rsidP="00384EA8">
      <w:pPr>
        <w:rPr>
          <w:bCs/>
        </w:rPr>
      </w:pPr>
      <w:r>
        <w:rPr>
          <w:bCs/>
        </w:rPr>
        <w:t xml:space="preserve">Co-authors: </w:t>
      </w:r>
      <w:r w:rsidR="00384EA8" w:rsidRPr="00384EA8">
        <w:rPr>
          <w:bCs/>
        </w:rPr>
        <w:t xml:space="preserve">Christopher Cleveland, Ellen Haynes, Michael </w:t>
      </w:r>
      <w:proofErr w:type="spellStart"/>
      <w:r w:rsidR="00384EA8" w:rsidRPr="00384EA8">
        <w:rPr>
          <w:bCs/>
        </w:rPr>
        <w:t>Yabsley</w:t>
      </w:r>
      <w:proofErr w:type="spellEnd"/>
      <w:r w:rsidR="00384EA8" w:rsidRPr="00384EA8">
        <w:rPr>
          <w:bCs/>
        </w:rPr>
        <w:t xml:space="preserve">, </w:t>
      </w:r>
      <w:r w:rsidRPr="00384EA8">
        <w:rPr>
          <w:bCs/>
        </w:rPr>
        <w:t xml:space="preserve">Kevin </w:t>
      </w:r>
      <w:proofErr w:type="spellStart"/>
      <w:r w:rsidRPr="00384EA8">
        <w:rPr>
          <w:bCs/>
        </w:rPr>
        <w:t>Koswick</w:t>
      </w:r>
      <w:proofErr w:type="spellEnd"/>
      <w:r w:rsidRPr="00384EA8">
        <w:rPr>
          <w:bCs/>
        </w:rPr>
        <w:t xml:space="preserve">, Erin </w:t>
      </w:r>
      <w:proofErr w:type="spellStart"/>
      <w:r w:rsidRPr="00384EA8">
        <w:rPr>
          <w:bCs/>
        </w:rPr>
        <w:t>Lipp</w:t>
      </w:r>
      <w:proofErr w:type="spellEnd"/>
      <w:r w:rsidRPr="00384EA8">
        <w:rPr>
          <w:bCs/>
        </w:rPr>
        <w:t xml:space="preserve">, Annie Beadle, Mary Beard, Sydney Brewer, James </w:t>
      </w:r>
      <w:r w:rsidRPr="00C70183">
        <w:rPr>
          <w:bCs/>
        </w:rPr>
        <w:t xml:space="preserve">Beasley, Travis </w:t>
      </w:r>
      <w:proofErr w:type="spellStart"/>
      <w:r w:rsidRPr="00C70183">
        <w:rPr>
          <w:bCs/>
        </w:rPr>
        <w:t>Stoakley</w:t>
      </w:r>
      <w:proofErr w:type="spellEnd"/>
      <w:r w:rsidRPr="00C70183">
        <w:rPr>
          <w:b/>
          <w:bCs/>
        </w:rPr>
        <w:t>,</w:t>
      </w:r>
      <w:r w:rsidRPr="00C70183">
        <w:rPr>
          <w:bCs/>
        </w:rPr>
        <w:t> </w:t>
      </w:r>
      <w:proofErr w:type="spellStart"/>
      <w:r w:rsidRPr="00C70183">
        <w:rPr>
          <w:bCs/>
        </w:rPr>
        <w:t>Lilyanne</w:t>
      </w:r>
      <w:proofErr w:type="spellEnd"/>
      <w:r w:rsidRPr="00C70183">
        <w:rPr>
          <w:bCs/>
        </w:rPr>
        <w:t xml:space="preserve"> </w:t>
      </w:r>
      <w:proofErr w:type="spellStart"/>
      <w:r w:rsidRPr="00C70183">
        <w:rPr>
          <w:bCs/>
        </w:rPr>
        <w:t>Callaham</w:t>
      </w:r>
      <w:proofErr w:type="spellEnd"/>
      <w:r w:rsidRPr="00C70183">
        <w:rPr>
          <w:bCs/>
        </w:rPr>
        <w:t xml:space="preserve">, Marin Brewer, Michelle </w:t>
      </w:r>
      <w:proofErr w:type="spellStart"/>
      <w:r w:rsidRPr="00C70183">
        <w:rPr>
          <w:bCs/>
        </w:rPr>
        <w:t>Momany</w:t>
      </w:r>
      <w:proofErr w:type="spellEnd"/>
      <w:r w:rsidRPr="00C70183">
        <w:rPr>
          <w:bCs/>
        </w:rPr>
        <w:t xml:space="preserve">, and Justina Stanislaw, University of Georgia </w:t>
      </w:r>
    </w:p>
    <w:p w14:paraId="2B0B2B33" w14:textId="77777777" w:rsidR="00384EA8" w:rsidRPr="00384EA8" w:rsidRDefault="00384EA8" w:rsidP="00384EA8">
      <w:pPr>
        <w:rPr>
          <w:bCs/>
        </w:rPr>
      </w:pPr>
      <w:r w:rsidRPr="00384EA8">
        <w:rPr>
          <w:bCs/>
        </w:rPr>
        <w:t> </w:t>
      </w:r>
    </w:p>
    <w:p w14:paraId="66850324" w14:textId="77777777" w:rsidR="00384EA8" w:rsidRPr="00384EA8" w:rsidRDefault="00384EA8" w:rsidP="00FF4E21">
      <w:pPr>
        <w:ind w:firstLine="360"/>
        <w:rPr>
          <w:bCs/>
        </w:rPr>
      </w:pPr>
      <w:r w:rsidRPr="00384EA8">
        <w:rPr>
          <w:bCs/>
        </w:rPr>
        <w:t>Invasive wild pigs (</w:t>
      </w:r>
      <w:r w:rsidRPr="00384EA8">
        <w:rPr>
          <w:bCs/>
          <w:i/>
          <w:iCs/>
        </w:rPr>
        <w:t xml:space="preserve">Sus </w:t>
      </w:r>
      <w:proofErr w:type="spellStart"/>
      <w:r w:rsidRPr="00384EA8">
        <w:rPr>
          <w:bCs/>
          <w:i/>
          <w:iCs/>
        </w:rPr>
        <w:t>scrofa</w:t>
      </w:r>
      <w:proofErr w:type="spellEnd"/>
      <w:r w:rsidRPr="00384EA8">
        <w:rPr>
          <w:bCs/>
        </w:rPr>
        <w:t>), are found throughout much of the U.S. and through their wallowing behavior, may create environmental conditions for vector species, and water and soil borne pathogens</w:t>
      </w:r>
      <w:r w:rsidRPr="00384EA8">
        <w:rPr>
          <w:bCs/>
          <w:i/>
          <w:iCs/>
        </w:rPr>
        <w:t xml:space="preserve">, </w:t>
      </w:r>
      <w:r w:rsidRPr="00384EA8">
        <w:rPr>
          <w:bCs/>
        </w:rPr>
        <w:t xml:space="preserve">facilitating transmission pathways to wildlife that visit wallows. To investigate this relationship, we evaluated wild pigs and wallows for </w:t>
      </w:r>
      <w:r w:rsidRPr="00384EA8">
        <w:rPr>
          <w:bCs/>
          <w:i/>
          <w:iCs/>
        </w:rPr>
        <w:t>Leptospira</w:t>
      </w:r>
      <w:r w:rsidRPr="00384EA8">
        <w:rPr>
          <w:bCs/>
        </w:rPr>
        <w:t xml:space="preserve">, </w:t>
      </w:r>
      <w:r w:rsidRPr="00384EA8">
        <w:rPr>
          <w:bCs/>
          <w:i/>
          <w:iCs/>
        </w:rPr>
        <w:t>Cryptosporidium</w:t>
      </w:r>
      <w:r w:rsidRPr="00384EA8">
        <w:rPr>
          <w:bCs/>
        </w:rPr>
        <w:t xml:space="preserve">, </w:t>
      </w:r>
      <w:r w:rsidRPr="00384EA8">
        <w:rPr>
          <w:bCs/>
          <w:i/>
          <w:iCs/>
        </w:rPr>
        <w:t>Giardia</w:t>
      </w:r>
      <w:r w:rsidRPr="00384EA8">
        <w:rPr>
          <w:bCs/>
        </w:rPr>
        <w:t xml:space="preserve">, </w:t>
      </w:r>
      <w:r w:rsidRPr="00384EA8">
        <w:rPr>
          <w:bCs/>
          <w:i/>
          <w:iCs/>
        </w:rPr>
        <w:t>Salmonella, E. coli</w:t>
      </w:r>
      <w:r w:rsidRPr="00384EA8">
        <w:rPr>
          <w:bCs/>
        </w:rPr>
        <w:t xml:space="preserve"> as well as </w:t>
      </w:r>
      <w:r w:rsidRPr="00384EA8">
        <w:rPr>
          <w:bCs/>
          <w:i/>
          <w:iCs/>
        </w:rPr>
        <w:t>Aspergillus fumigatus</w:t>
      </w:r>
      <w:r w:rsidRPr="00384EA8">
        <w:rPr>
          <w:bCs/>
        </w:rPr>
        <w:t xml:space="preserve"> and azole-resistant isolates from wallows.  Additionally, we evaluated presence of </w:t>
      </w:r>
      <w:proofErr w:type="spellStart"/>
      <w:r w:rsidRPr="00384EA8">
        <w:rPr>
          <w:bCs/>
          <w:i/>
          <w:iCs/>
        </w:rPr>
        <w:t>Culicoides</w:t>
      </w:r>
      <w:proofErr w:type="spellEnd"/>
      <w:r w:rsidRPr="00384EA8">
        <w:rPr>
          <w:bCs/>
        </w:rPr>
        <w:t xml:space="preserve"> and mosquito vector species colonizing wallows. Preliminary results reveal </w:t>
      </w:r>
      <w:r w:rsidRPr="00384EA8">
        <w:rPr>
          <w:bCs/>
          <w:i/>
          <w:iCs/>
        </w:rPr>
        <w:t>Salmonella</w:t>
      </w:r>
      <w:r w:rsidRPr="00384EA8">
        <w:rPr>
          <w:bCs/>
        </w:rPr>
        <w:t xml:space="preserve"> (12/36 positive), </w:t>
      </w:r>
      <w:r w:rsidRPr="00384EA8">
        <w:rPr>
          <w:bCs/>
          <w:i/>
          <w:iCs/>
        </w:rPr>
        <w:t xml:space="preserve">A. fumigatus </w:t>
      </w:r>
      <w:r w:rsidRPr="00384EA8">
        <w:rPr>
          <w:bCs/>
        </w:rPr>
        <w:t>(17/26 positive)</w:t>
      </w:r>
      <w:r w:rsidRPr="00384EA8">
        <w:rPr>
          <w:bCs/>
          <w:i/>
          <w:iCs/>
        </w:rPr>
        <w:t xml:space="preserve">, </w:t>
      </w:r>
      <w:r w:rsidRPr="00384EA8">
        <w:rPr>
          <w:bCs/>
        </w:rPr>
        <w:t xml:space="preserve">and fecal coliforms (60/82 positive) within wallows and vector species of mosquitoes (e.g. </w:t>
      </w:r>
      <w:r w:rsidRPr="00384EA8">
        <w:rPr>
          <w:bCs/>
          <w:i/>
          <w:iCs/>
        </w:rPr>
        <w:t xml:space="preserve">Anopheles </w:t>
      </w:r>
      <w:proofErr w:type="spellStart"/>
      <w:r w:rsidRPr="00384EA8">
        <w:rPr>
          <w:bCs/>
          <w:i/>
          <w:iCs/>
        </w:rPr>
        <w:t>quadrimaculatus</w:t>
      </w:r>
      <w:proofErr w:type="spellEnd"/>
      <w:r w:rsidRPr="00384EA8">
        <w:rPr>
          <w:bCs/>
        </w:rPr>
        <w:t xml:space="preserve">, </w:t>
      </w:r>
      <w:r w:rsidRPr="00384EA8">
        <w:rPr>
          <w:bCs/>
          <w:i/>
          <w:iCs/>
        </w:rPr>
        <w:t xml:space="preserve">Culex </w:t>
      </w:r>
      <w:proofErr w:type="spellStart"/>
      <w:r w:rsidRPr="00384EA8">
        <w:rPr>
          <w:bCs/>
          <w:i/>
          <w:iCs/>
        </w:rPr>
        <w:t>quinquefasciatus</w:t>
      </w:r>
      <w:proofErr w:type="spellEnd"/>
      <w:r w:rsidRPr="00384EA8">
        <w:rPr>
          <w:bCs/>
        </w:rPr>
        <w:t xml:space="preserve">) and </w:t>
      </w:r>
      <w:proofErr w:type="spellStart"/>
      <w:r w:rsidRPr="00384EA8">
        <w:rPr>
          <w:bCs/>
          <w:i/>
          <w:iCs/>
        </w:rPr>
        <w:t>Culicoides</w:t>
      </w:r>
      <w:proofErr w:type="spellEnd"/>
      <w:r w:rsidRPr="00384EA8">
        <w:rPr>
          <w:bCs/>
          <w:i/>
          <w:iCs/>
        </w:rPr>
        <w:t xml:space="preserve"> </w:t>
      </w:r>
      <w:r w:rsidRPr="00384EA8">
        <w:rPr>
          <w:bCs/>
        </w:rPr>
        <w:t xml:space="preserve">(e.g. </w:t>
      </w:r>
      <w:r w:rsidRPr="00384EA8">
        <w:rPr>
          <w:bCs/>
          <w:i/>
          <w:iCs/>
        </w:rPr>
        <w:t xml:space="preserve">C. </w:t>
      </w:r>
      <w:proofErr w:type="spellStart"/>
      <w:r w:rsidRPr="00384EA8">
        <w:rPr>
          <w:bCs/>
          <w:i/>
          <w:iCs/>
        </w:rPr>
        <w:t>variipennis</w:t>
      </w:r>
      <w:proofErr w:type="spellEnd"/>
      <w:r w:rsidRPr="00384EA8">
        <w:rPr>
          <w:bCs/>
        </w:rPr>
        <w:t xml:space="preserve">, </w:t>
      </w:r>
      <w:r w:rsidRPr="00384EA8">
        <w:rPr>
          <w:bCs/>
          <w:i/>
          <w:iCs/>
        </w:rPr>
        <w:t xml:space="preserve">C. </w:t>
      </w:r>
      <w:proofErr w:type="spellStart"/>
      <w:r w:rsidRPr="00384EA8">
        <w:rPr>
          <w:bCs/>
          <w:i/>
          <w:iCs/>
        </w:rPr>
        <w:t>venustus</w:t>
      </w:r>
      <w:proofErr w:type="spellEnd"/>
      <w:r w:rsidRPr="00384EA8">
        <w:rPr>
          <w:bCs/>
        </w:rPr>
        <w:t xml:space="preserve">, </w:t>
      </w:r>
      <w:r w:rsidRPr="00384EA8">
        <w:rPr>
          <w:bCs/>
          <w:i/>
          <w:iCs/>
        </w:rPr>
        <w:t xml:space="preserve">C. </w:t>
      </w:r>
      <w:proofErr w:type="spellStart"/>
      <w:r w:rsidRPr="00384EA8">
        <w:rPr>
          <w:bCs/>
          <w:i/>
          <w:iCs/>
        </w:rPr>
        <w:t>stellifer</w:t>
      </w:r>
      <w:proofErr w:type="spellEnd"/>
      <w:r w:rsidRPr="00384EA8">
        <w:rPr>
          <w:bCs/>
        </w:rPr>
        <w:t xml:space="preserve">). We have not detected </w:t>
      </w:r>
      <w:r w:rsidRPr="00384EA8">
        <w:rPr>
          <w:bCs/>
          <w:i/>
          <w:iCs/>
        </w:rPr>
        <w:t>Leptospira</w:t>
      </w:r>
      <w:r w:rsidRPr="00384EA8">
        <w:rPr>
          <w:bCs/>
        </w:rPr>
        <w:t xml:space="preserve"> molecularly from wild pigs or the environment thus far, but microscopic agglutination testing revealed low titers (1:100 and 1:200) serologically in 29.7% of wild pigs (19/64). Further analysis is needed to understand animal interactions and potential roles in pathogen transmission, but this study demonstrates that vectors and pathogens are detected from wild pig wallows. </w:t>
      </w:r>
    </w:p>
    <w:p w14:paraId="6F8AF7CB" w14:textId="41511FFB" w:rsidR="00F002F1" w:rsidRDefault="00F002F1" w:rsidP="0095554B">
      <w:pPr>
        <w:rPr>
          <w:b/>
          <w:bCs/>
        </w:rPr>
      </w:pPr>
    </w:p>
    <w:p w14:paraId="6044B620" w14:textId="77777777" w:rsidR="00F002F1" w:rsidRDefault="00F002F1" w:rsidP="0095554B">
      <w:pPr>
        <w:rPr>
          <w:b/>
          <w:bCs/>
        </w:rPr>
      </w:pPr>
    </w:p>
    <w:p w14:paraId="46CE05DB" w14:textId="5571A333" w:rsidR="00BE339E" w:rsidRDefault="00CB5DB7" w:rsidP="0095554B">
      <w:pPr>
        <w:rPr>
          <w:b/>
          <w:bCs/>
        </w:rPr>
      </w:pPr>
      <w:r>
        <w:rPr>
          <w:b/>
          <w:bCs/>
        </w:rPr>
        <w:t>The Surveillance Optimization Project for CWD</w:t>
      </w:r>
    </w:p>
    <w:p w14:paraId="5ADB5153" w14:textId="0EF4EC0A" w:rsidR="00BE339E" w:rsidRDefault="00CB5DB7" w:rsidP="0095554B">
      <w:pPr>
        <w:rPr>
          <w:bCs/>
        </w:rPr>
      </w:pPr>
      <w:r>
        <w:rPr>
          <w:bCs/>
        </w:rPr>
        <w:t>Krysten Schuler</w:t>
      </w:r>
      <w:r w:rsidR="00BE339E" w:rsidRPr="00BE339E">
        <w:rPr>
          <w:bCs/>
        </w:rPr>
        <w:t xml:space="preserve">, </w:t>
      </w:r>
      <w:r w:rsidR="001E1AE7">
        <w:rPr>
          <w:bCs/>
        </w:rPr>
        <w:t xml:space="preserve">Dept. of Population Medicine and Diagnostic Sciences, </w:t>
      </w:r>
      <w:r>
        <w:rPr>
          <w:bCs/>
        </w:rPr>
        <w:t xml:space="preserve">Cornell University </w:t>
      </w:r>
    </w:p>
    <w:p w14:paraId="684A704D" w14:textId="6538D409" w:rsidR="00BE339E" w:rsidRDefault="00BE339E" w:rsidP="0095554B">
      <w:pPr>
        <w:rPr>
          <w:b/>
          <w:bCs/>
        </w:rPr>
      </w:pPr>
    </w:p>
    <w:p w14:paraId="63B2E712" w14:textId="77777777" w:rsidR="0014511D" w:rsidRDefault="0014511D" w:rsidP="00FF4E21">
      <w:pPr>
        <w:ind w:firstLine="360"/>
      </w:pPr>
      <w:r>
        <w:t xml:space="preserve">The Surveillance Optimization Project for Chronic Wasting Disease (SOP4CWD) is a collaborative effort to improve the efficiency and effectiveness of CWD surveillance across North America. Launched in 2022, the CWD Data Warehouse is a free, custom platform for wildlife agencies to manage CWD and ancillary data, run models as decision-support tools, and visualize testing across participating jurisdictions. The goal is to meet wildlife agencies at all stages of disease and promote opportunities to share data across jurisdictions. The website for the project is </w:t>
      </w:r>
      <w:hyperlink r:id="rId5" w:history="1">
        <w:r w:rsidRPr="008F11FD">
          <w:rPr>
            <w:rStyle w:val="Hyperlink"/>
          </w:rPr>
          <w:t>https://sop4cwd.org</w:t>
        </w:r>
      </w:hyperlink>
      <w:r>
        <w:t>. We currently have 22 state agencies, 2 provincial, and 1 tribal agency participating with over 260 registered users. The data repository contains over 1 million sample records from 5 different species and data on meat processors, taxidermists, captive cervid, demographics, agency expenses, and geospatial layers. The system contains a data pipeline from the field, through the diagnostic testing laboratory, and back to the Warehouse for reporting. We have a suite of user-friendly models within the Warehouse that are designed to answer questions biologists commonly ask. Data security and privacy are paramount so there is no public access or individual person identifiers. The data use agreement stipulates there is no distribution of data without the owner agency’s approval. There is a formal process for researchers to request data. Funding for the project has been provided by a number of state wildlife agencies, a Multistate Conservation Grant, and U.S. Department of Agriculture.</w:t>
      </w:r>
    </w:p>
    <w:p w14:paraId="72027798" w14:textId="77777777" w:rsidR="0014511D" w:rsidRDefault="0014511D" w:rsidP="0095554B">
      <w:pPr>
        <w:rPr>
          <w:b/>
          <w:bCs/>
        </w:rPr>
      </w:pPr>
    </w:p>
    <w:p w14:paraId="3C09751F" w14:textId="7D544291" w:rsidR="00BE339E" w:rsidRDefault="00BE339E" w:rsidP="0095554B">
      <w:pPr>
        <w:rPr>
          <w:bCs/>
        </w:rPr>
      </w:pPr>
    </w:p>
    <w:p w14:paraId="31C94FAC" w14:textId="77777777" w:rsidR="004A5FAC" w:rsidRDefault="004A5FAC" w:rsidP="00FF4E21">
      <w:pPr>
        <w:rPr>
          <w:b/>
          <w:bCs/>
        </w:rPr>
      </w:pPr>
    </w:p>
    <w:p w14:paraId="577D9447" w14:textId="77777777" w:rsidR="004A5FAC" w:rsidRDefault="004A5FAC" w:rsidP="00FF4E21">
      <w:pPr>
        <w:rPr>
          <w:b/>
          <w:bCs/>
        </w:rPr>
      </w:pPr>
    </w:p>
    <w:p w14:paraId="43917018" w14:textId="77777777" w:rsidR="004A5FAC" w:rsidRDefault="004A5FAC" w:rsidP="00FF4E21">
      <w:pPr>
        <w:rPr>
          <w:b/>
          <w:bCs/>
        </w:rPr>
      </w:pPr>
    </w:p>
    <w:p w14:paraId="5AE63C47" w14:textId="77777777" w:rsidR="004A5FAC" w:rsidRDefault="004A5FAC" w:rsidP="00FF4E21">
      <w:pPr>
        <w:rPr>
          <w:b/>
          <w:bCs/>
        </w:rPr>
      </w:pPr>
    </w:p>
    <w:p w14:paraId="10C4AA0E" w14:textId="77777777" w:rsidR="004A5FAC" w:rsidRDefault="004A5FAC" w:rsidP="00FF4E21">
      <w:pPr>
        <w:rPr>
          <w:b/>
          <w:bCs/>
        </w:rPr>
      </w:pPr>
    </w:p>
    <w:p w14:paraId="550EEC77" w14:textId="77777777" w:rsidR="004A5FAC" w:rsidRDefault="004A5FAC" w:rsidP="00FF4E21">
      <w:pPr>
        <w:rPr>
          <w:b/>
          <w:bCs/>
        </w:rPr>
      </w:pPr>
    </w:p>
    <w:p w14:paraId="64B21CBE" w14:textId="77777777" w:rsidR="004A5FAC" w:rsidRDefault="004A5FAC" w:rsidP="00FF4E21">
      <w:pPr>
        <w:rPr>
          <w:b/>
          <w:bCs/>
        </w:rPr>
      </w:pPr>
    </w:p>
    <w:p w14:paraId="116D0D18" w14:textId="77777777" w:rsidR="004A5FAC" w:rsidRDefault="004A5FAC" w:rsidP="00FF4E21">
      <w:pPr>
        <w:rPr>
          <w:b/>
          <w:bCs/>
        </w:rPr>
      </w:pPr>
    </w:p>
    <w:p w14:paraId="3FBF5DFE" w14:textId="77777777" w:rsidR="004A5FAC" w:rsidRDefault="004A5FAC" w:rsidP="00FF4E21">
      <w:pPr>
        <w:rPr>
          <w:b/>
          <w:bCs/>
        </w:rPr>
      </w:pPr>
    </w:p>
    <w:p w14:paraId="2D0DC439" w14:textId="1F9C06D8" w:rsidR="00FF4E21" w:rsidRPr="00FF4E21" w:rsidRDefault="00FF4E21" w:rsidP="004A5FAC">
      <w:pPr>
        <w:ind w:left="360"/>
        <w:rPr>
          <w:b/>
          <w:bCs/>
        </w:rPr>
      </w:pPr>
      <w:r w:rsidRPr="00FF4E21">
        <w:rPr>
          <w:b/>
          <w:bCs/>
        </w:rPr>
        <w:lastRenderedPageBreak/>
        <w:t>Ways Deer Die: Stories from a CWD Endemic Area of Arkansas</w:t>
      </w:r>
    </w:p>
    <w:p w14:paraId="042D8239" w14:textId="5DEDC3EA" w:rsidR="00FF4E21" w:rsidRPr="00FF4E21" w:rsidRDefault="00FF4E21" w:rsidP="004A5FAC">
      <w:pPr>
        <w:ind w:left="360"/>
        <w:rPr>
          <w:bCs/>
        </w:rPr>
      </w:pPr>
      <w:r w:rsidRPr="00FF4E21">
        <w:rPr>
          <w:bCs/>
        </w:rPr>
        <w:t xml:space="preserve">Mark </w:t>
      </w:r>
      <w:r w:rsidR="0019663B">
        <w:rPr>
          <w:bCs/>
        </w:rPr>
        <w:t xml:space="preserve">G. </w:t>
      </w:r>
      <w:r w:rsidRPr="00FF4E21">
        <w:rPr>
          <w:bCs/>
        </w:rPr>
        <w:t xml:space="preserve">Ruder, </w:t>
      </w:r>
      <w:r w:rsidR="00092FC4">
        <w:rPr>
          <w:bCs/>
        </w:rPr>
        <w:t>Southeastern Cooperative Wildlife Disease Study</w:t>
      </w:r>
      <w:r w:rsidRPr="00FF4E21">
        <w:rPr>
          <w:bCs/>
        </w:rPr>
        <w:t>, University of Georgia</w:t>
      </w:r>
    </w:p>
    <w:p w14:paraId="60E96B12" w14:textId="77777777" w:rsidR="00FF4E21" w:rsidRPr="00FF4E21" w:rsidRDefault="00FF4E21" w:rsidP="004A5FAC">
      <w:pPr>
        <w:ind w:left="360"/>
        <w:rPr>
          <w:bCs/>
        </w:rPr>
      </w:pPr>
    </w:p>
    <w:p w14:paraId="75BD6B60" w14:textId="407D0FB6" w:rsidR="00FF4E21" w:rsidRPr="00FF4E21" w:rsidRDefault="00FF4E21" w:rsidP="004A5FAC">
      <w:pPr>
        <w:ind w:left="360"/>
        <w:rPr>
          <w:bCs/>
        </w:rPr>
      </w:pPr>
      <w:r w:rsidRPr="00FF4E21">
        <w:rPr>
          <w:bCs/>
        </w:rPr>
        <w:t xml:space="preserve">Co-Authors: Marcelo Jorge, Heather Gaya, Lisa </w:t>
      </w:r>
      <w:proofErr w:type="spellStart"/>
      <w:r w:rsidRPr="00FF4E21">
        <w:rPr>
          <w:bCs/>
        </w:rPr>
        <w:t>Bertin</w:t>
      </w:r>
      <w:proofErr w:type="spellEnd"/>
      <w:r w:rsidRPr="00FF4E21">
        <w:rPr>
          <w:bCs/>
        </w:rPr>
        <w:t xml:space="preserve">, Gino D’Angelo, Richard Chandler, Nicole Nemeth, Michael Chamberlain (University of Georgia); Nathaniel </w:t>
      </w:r>
      <w:proofErr w:type="spellStart"/>
      <w:r w:rsidRPr="00FF4E21">
        <w:rPr>
          <w:bCs/>
        </w:rPr>
        <w:t>Denkers</w:t>
      </w:r>
      <w:proofErr w:type="spellEnd"/>
      <w:r w:rsidRPr="00FF4E21">
        <w:rPr>
          <w:bCs/>
        </w:rPr>
        <w:t xml:space="preserve">, Amy </w:t>
      </w:r>
      <w:proofErr w:type="spellStart"/>
      <w:r w:rsidRPr="00FF4E21">
        <w:rPr>
          <w:bCs/>
        </w:rPr>
        <w:t>Nalls</w:t>
      </w:r>
      <w:proofErr w:type="spellEnd"/>
      <w:r w:rsidRPr="00FF4E21">
        <w:rPr>
          <w:bCs/>
        </w:rPr>
        <w:t xml:space="preserve">, Candace </w:t>
      </w:r>
      <w:proofErr w:type="spellStart"/>
      <w:r w:rsidRPr="00FF4E21">
        <w:rPr>
          <w:bCs/>
        </w:rPr>
        <w:t>Mathiason</w:t>
      </w:r>
      <w:proofErr w:type="spellEnd"/>
      <w:r w:rsidRPr="00FF4E21">
        <w:rPr>
          <w:bCs/>
        </w:rPr>
        <w:t xml:space="preserve"> (University of Georgia)</w:t>
      </w:r>
    </w:p>
    <w:p w14:paraId="7ECD39E8" w14:textId="77777777" w:rsidR="00FF4E21" w:rsidRPr="00FF4E21" w:rsidRDefault="00FF4E21" w:rsidP="004A5FAC">
      <w:pPr>
        <w:ind w:left="360"/>
        <w:rPr>
          <w:bCs/>
        </w:rPr>
      </w:pPr>
    </w:p>
    <w:p w14:paraId="22337930" w14:textId="137AC73D" w:rsidR="00FF4E21" w:rsidRDefault="00FF4E21" w:rsidP="0019663B">
      <w:pPr>
        <w:ind w:left="360" w:firstLine="360"/>
        <w:rPr>
          <w:bCs/>
        </w:rPr>
      </w:pPr>
      <w:r w:rsidRPr="00FF4E21">
        <w:rPr>
          <w:bCs/>
        </w:rPr>
        <w:t>Chronic wasting disease (CWD) is a transmissible spongiform encephalopathy affecting white-tailed deer and some</w:t>
      </w:r>
      <w:r>
        <w:rPr>
          <w:bCs/>
        </w:rPr>
        <w:t xml:space="preserve"> </w:t>
      </w:r>
      <w:r w:rsidRPr="00FF4E21">
        <w:rPr>
          <w:bCs/>
        </w:rPr>
        <w:t xml:space="preserve">other </w:t>
      </w:r>
      <w:proofErr w:type="spellStart"/>
      <w:r w:rsidRPr="00FF4E21">
        <w:rPr>
          <w:bCs/>
        </w:rPr>
        <w:t>cervid</w:t>
      </w:r>
      <w:proofErr w:type="spellEnd"/>
      <w:r w:rsidRPr="00FF4E21">
        <w:rPr>
          <w:bCs/>
        </w:rPr>
        <w:t xml:space="preserve"> species. In some areas where CWD has been endemic for decades, studies show that CWD may cause population declines in free-ranging deer. Accordingly, CWD represents one of the most significant conservation challenges faced by wildlife management agencies tasked with maintaining sustainable populations of white-tailed deer. CWD was first confirmed in Arkansas in a</w:t>
      </w:r>
      <w:r w:rsidR="00092FC4">
        <w:rPr>
          <w:bCs/>
        </w:rPr>
        <w:t xml:space="preserve"> free-ranging</w:t>
      </w:r>
      <w:r w:rsidRPr="00FF4E21">
        <w:rPr>
          <w:bCs/>
        </w:rPr>
        <w:t xml:space="preserve"> elk harvested in Newton County during 2015. Subsequent surveillance by Arkansas Game and Fish Commission revealed CWD was likely well-established in the area surrounding the initial detection. Thus, a collaborative and multi-year research project was initiated to quantify impacts on adult and fawn survival, vigilance behavior, and population trends. From 2021–2025, adult deer were captured in Northwestern Arkansas across three sites in Newton and Searcy counties. All adults (≥1.5 years) received GPS collars, ear tags, and CWD testing. At each site, we deployed an 81-camera array (500 m spacing) operating year-round. All mortalities were investigated with a thorough investigation of the death scene, gross and microscopic postmortem examination, and ancillary diagnostic testing to determine cause of death. When tissues were available, all deer were tested for CWD by immunohistochemistry (retropharyngeal lymph node, </w:t>
      </w:r>
      <w:proofErr w:type="spellStart"/>
      <w:r w:rsidRPr="00FF4E21">
        <w:rPr>
          <w:bCs/>
        </w:rPr>
        <w:t>obex</w:t>
      </w:r>
      <w:proofErr w:type="spellEnd"/>
      <w:r w:rsidRPr="00FF4E21">
        <w:rPr>
          <w:bCs/>
        </w:rPr>
        <w:t>, and tonsil). Causes of death were categorized (i.e., harvest, predation, other trauma, CWD, other disease, undetermined). Major population-level findings included a high overall prevalence of CWD (&gt;50%) among sampled deer and a lower annual adult survival among CWD-positive deer. Shorter lifespans in adult female deer resulted in fewer fawns (net reproductive rate below replacement in CWD-positive females). Deer densities in the study area were low (range: 1.2-5.0 deer/mi</w:t>
      </w:r>
      <w:r w:rsidRPr="00FF4E21">
        <w:rPr>
          <w:bCs/>
          <w:vertAlign w:val="superscript"/>
        </w:rPr>
        <w:t>2</w:t>
      </w:r>
      <w:r w:rsidR="00092FC4" w:rsidRPr="00092FC4">
        <w:rPr>
          <w:bCs/>
        </w:rPr>
        <w:t>,</w:t>
      </w:r>
      <w:r w:rsidR="00092FC4">
        <w:rPr>
          <w:bCs/>
          <w:vertAlign w:val="superscript"/>
        </w:rPr>
        <w:t xml:space="preserve"> </w:t>
      </w:r>
      <w:r w:rsidR="00092FC4">
        <w:rPr>
          <w:bCs/>
        </w:rPr>
        <w:t>varied with site</w:t>
      </w:r>
      <w:r w:rsidRPr="00FF4E21">
        <w:rPr>
          <w:bCs/>
        </w:rPr>
        <w:t xml:space="preserve">) and the population in this area is in a decline. The top three causes of mortality in the population were predation, harvest, and CWD. Other, less common causes of mortality included other trauma, hemorrhagic disease, </w:t>
      </w:r>
      <w:r w:rsidR="00BB0E56">
        <w:rPr>
          <w:bCs/>
        </w:rPr>
        <w:t xml:space="preserve">and </w:t>
      </w:r>
      <w:r w:rsidRPr="00FF4E21">
        <w:rPr>
          <w:bCs/>
        </w:rPr>
        <w:t xml:space="preserve">bacterial disease. The most common comorbidities included CWD, malnutrition, bacterial disease and other trauma. </w:t>
      </w:r>
    </w:p>
    <w:p w14:paraId="29DBE015" w14:textId="77777777" w:rsidR="0019663B" w:rsidRPr="00FF4E21" w:rsidRDefault="0019663B" w:rsidP="004A5FAC">
      <w:pPr>
        <w:ind w:left="360"/>
        <w:rPr>
          <w:bCs/>
        </w:rPr>
      </w:pPr>
    </w:p>
    <w:p w14:paraId="3D476A83" w14:textId="77777777" w:rsidR="00CB5DB7" w:rsidRDefault="00CB5DB7" w:rsidP="004A5FAC">
      <w:pPr>
        <w:ind w:left="360"/>
        <w:rPr>
          <w:bCs/>
        </w:rPr>
      </w:pPr>
    </w:p>
    <w:p w14:paraId="5759AADD" w14:textId="3A25AD4C" w:rsidR="00CB5DB7" w:rsidRPr="00BE339E" w:rsidRDefault="00CB5DB7" w:rsidP="004A5FAC">
      <w:pPr>
        <w:ind w:left="360"/>
        <w:rPr>
          <w:b/>
          <w:bCs/>
        </w:rPr>
      </w:pPr>
      <w:r>
        <w:rPr>
          <w:b/>
          <w:bCs/>
        </w:rPr>
        <w:t>Potential Interaction Between Texas Wildlife and New World Screwworm</w:t>
      </w:r>
    </w:p>
    <w:p w14:paraId="342FBA41" w14:textId="0A1B9DCE" w:rsidR="00CB5DB7" w:rsidRDefault="00CB5DB7" w:rsidP="001E1AE7">
      <w:pPr>
        <w:ind w:left="360"/>
        <w:rPr>
          <w:bCs/>
        </w:rPr>
      </w:pPr>
      <w:r>
        <w:rPr>
          <w:bCs/>
        </w:rPr>
        <w:t xml:space="preserve">John </w:t>
      </w:r>
      <w:r w:rsidR="0019663B">
        <w:rPr>
          <w:bCs/>
        </w:rPr>
        <w:t xml:space="preserve">B. </w:t>
      </w:r>
      <w:r>
        <w:rPr>
          <w:bCs/>
        </w:rPr>
        <w:t>Welch, Retired</w:t>
      </w:r>
    </w:p>
    <w:p w14:paraId="465D7710" w14:textId="0AAD6946" w:rsidR="004A5FAC" w:rsidRDefault="004A5FAC" w:rsidP="001E1AE7">
      <w:pPr>
        <w:ind w:left="360"/>
        <w:rPr>
          <w:bCs/>
        </w:rPr>
      </w:pPr>
    </w:p>
    <w:p w14:paraId="0533448F" w14:textId="5FAA5B5B" w:rsidR="0019663B" w:rsidRDefault="004A5FAC" w:rsidP="0019663B">
      <w:pPr>
        <w:ind w:left="360" w:firstLine="360"/>
        <w:rPr>
          <w:bCs/>
        </w:rPr>
      </w:pPr>
      <w:r>
        <w:rPr>
          <w:bCs/>
        </w:rPr>
        <w:t>Dr. Welch provided a presentation on the natural history</w:t>
      </w:r>
      <w:r w:rsidR="0019663B">
        <w:rPr>
          <w:bCs/>
        </w:rPr>
        <w:t xml:space="preserve"> of New World screwworm (NWS), previous eradication efforts, and contemporary challenges related to the current threat of NWS. The Screwworm Eradication Program has proven its efficacy in achieving its initial goal. Wildlife will be lost to the current situation with screwworm, but this has happened before and screwworm eradication from a large portion of its endemic range. Sound, science-based technical decisions will again lead to reaching the goal of eradicating screwworm. A strong cooperative program with all agencies and the public will result in eradicating this devastating pest. </w:t>
      </w:r>
    </w:p>
    <w:p w14:paraId="3781EAA8" w14:textId="77777777" w:rsidR="004D0119" w:rsidRDefault="004D0119" w:rsidP="0019663B">
      <w:pPr>
        <w:rPr>
          <w:b/>
          <w:bCs/>
        </w:rPr>
      </w:pPr>
    </w:p>
    <w:p w14:paraId="4446898D" w14:textId="6117BAE4" w:rsidR="00384EA8" w:rsidRDefault="00384EA8" w:rsidP="001E1AE7">
      <w:pPr>
        <w:ind w:left="360"/>
        <w:rPr>
          <w:b/>
          <w:bCs/>
        </w:rPr>
      </w:pPr>
    </w:p>
    <w:p w14:paraId="6669A068" w14:textId="7D091EDB" w:rsidR="00384EA8" w:rsidRDefault="00384EA8" w:rsidP="001E1AE7">
      <w:pPr>
        <w:ind w:left="360"/>
        <w:rPr>
          <w:b/>
          <w:bCs/>
        </w:rPr>
      </w:pPr>
      <w:r>
        <w:rPr>
          <w:b/>
          <w:bCs/>
        </w:rPr>
        <w:t>Presentation of the Tom Thorne and Beth Williams Memorial Award</w:t>
      </w:r>
    </w:p>
    <w:p w14:paraId="67F7C044" w14:textId="0E69BB51" w:rsidR="00CB5DB7" w:rsidRDefault="00CB5DB7" w:rsidP="001E1AE7">
      <w:pPr>
        <w:ind w:left="360"/>
      </w:pPr>
      <w:r w:rsidRPr="00CB5DB7">
        <w:t>Peregrine Wolff</w:t>
      </w:r>
      <w:r w:rsidR="00384EA8">
        <w:t xml:space="preserve"> (Wildlife Disease Association); </w:t>
      </w:r>
      <w:r w:rsidR="00126A90">
        <w:t xml:space="preserve">Laurie Batten </w:t>
      </w:r>
      <w:r w:rsidR="00C4088D">
        <w:t>and Samantha Allen</w:t>
      </w:r>
      <w:r w:rsidR="00384EA8">
        <w:t xml:space="preserve"> (American Association of Wildlife Veterinarians)</w:t>
      </w:r>
    </w:p>
    <w:p w14:paraId="1A022511" w14:textId="77777777" w:rsidR="00C4088D" w:rsidRDefault="00C4088D" w:rsidP="001E1AE7">
      <w:pPr>
        <w:ind w:left="360"/>
      </w:pPr>
    </w:p>
    <w:p w14:paraId="09AFC042" w14:textId="6ACC3C1F" w:rsidR="00384EA8" w:rsidRDefault="00384EA8" w:rsidP="0019663B">
      <w:pPr>
        <w:ind w:left="360" w:firstLine="360"/>
      </w:pPr>
      <w:r>
        <w:t>The 2025 Tom Thorne and Beth Williams Memorial Award</w:t>
      </w:r>
      <w:r w:rsidR="0019663B">
        <w:t xml:space="preserve"> (Wildlife Disease Association and American Association of Wildlife Veterinarians)</w:t>
      </w:r>
      <w:r>
        <w:t xml:space="preserve"> was presented to Dr. Hank Edwards. Hank was a longtime member of the WDA, USAHA and a retired Laboratory Manager for the Wildlife Health Laboratory within the Wyoming Game and Fish Department. He is a respected member of the wildlife disease community, and this award recognizes his commitment to wildlife disease, policy and management, especially in the face of chronic wasting disease in free-ranging </w:t>
      </w:r>
      <w:proofErr w:type="spellStart"/>
      <w:r>
        <w:t>cervids</w:t>
      </w:r>
      <w:proofErr w:type="spellEnd"/>
      <w:r>
        <w:t xml:space="preserve"> and brucellosis in free-ranging elk and bison. </w:t>
      </w:r>
    </w:p>
    <w:p w14:paraId="68ABAC9D" w14:textId="77777777" w:rsidR="00384EA8" w:rsidRDefault="00384EA8" w:rsidP="00384EA8">
      <w:pPr>
        <w:ind w:left="360"/>
      </w:pPr>
    </w:p>
    <w:p w14:paraId="19F2335F" w14:textId="3BD7CE92" w:rsidR="00384EA8" w:rsidRDefault="00384EA8" w:rsidP="00384EA8">
      <w:pPr>
        <w:ind w:left="360"/>
      </w:pPr>
      <w:r>
        <w:t xml:space="preserve">Tom Thorne and Beth Williams were highly influential and revered members of the wildlife disease and conservation community and their dedication to wildlife health and conservation are commemorated through this memorial award. It is presented to an individual or group in acknowledgement of either an exemplary contribution or achievement combining wildlife disease research with wildlife management policy implementation or elucidating particularly significant problems in wildlife health.  </w:t>
      </w:r>
    </w:p>
    <w:p w14:paraId="14A4BB9A" w14:textId="77777777" w:rsidR="00384EA8" w:rsidRDefault="00384EA8" w:rsidP="00384EA8">
      <w:pPr>
        <w:ind w:left="360"/>
      </w:pPr>
    </w:p>
    <w:p w14:paraId="5FFC3078" w14:textId="77777777" w:rsidR="00932C17" w:rsidRDefault="00932C17" w:rsidP="00384EA8">
      <w:pPr>
        <w:ind w:left="360"/>
      </w:pPr>
    </w:p>
    <w:p w14:paraId="5FFA0121" w14:textId="77777777" w:rsidR="00932C17" w:rsidRDefault="00932C17" w:rsidP="00384EA8">
      <w:pPr>
        <w:ind w:left="360"/>
        <w:rPr>
          <w:b/>
          <w:bCs/>
        </w:rPr>
      </w:pPr>
      <w:r>
        <w:rPr>
          <w:b/>
          <w:bCs/>
        </w:rPr>
        <w:t xml:space="preserve">Committee Business: </w:t>
      </w:r>
    </w:p>
    <w:p w14:paraId="659C4E3C" w14:textId="4DC1645B" w:rsidR="001E1AE7" w:rsidRDefault="00932C17" w:rsidP="00092FC4">
      <w:pPr>
        <w:ind w:left="360"/>
      </w:pPr>
      <w:r w:rsidRPr="00550903">
        <w:rPr>
          <w:iCs/>
        </w:rPr>
        <w:t>The Committee briefly revisited Committee resolutions from previous years, including 2019 (Resolution 24)</w:t>
      </w:r>
      <w:r>
        <w:rPr>
          <w:iCs/>
        </w:rPr>
        <w:t xml:space="preserve">, </w:t>
      </w:r>
      <w:r w:rsidRPr="00550903">
        <w:rPr>
          <w:iCs/>
        </w:rPr>
        <w:t>2022 (Resolution 30)</w:t>
      </w:r>
      <w:r>
        <w:rPr>
          <w:iCs/>
        </w:rPr>
        <w:t>, and 2024 (Resolution 21)</w:t>
      </w:r>
      <w:r w:rsidRPr="00550903">
        <w:rPr>
          <w:iCs/>
        </w:rPr>
        <w:t xml:space="preserve">. The responses and/or updated responses to these resolutions were </w:t>
      </w:r>
      <w:r w:rsidRPr="00550903">
        <w:rPr>
          <w:iCs/>
        </w:rPr>
        <w:lastRenderedPageBreak/>
        <w:t>highlighted. The committee plans to revisit these topics during the 202</w:t>
      </w:r>
      <w:r>
        <w:rPr>
          <w:iCs/>
        </w:rPr>
        <w:t>6</w:t>
      </w:r>
      <w:r w:rsidRPr="00550903">
        <w:rPr>
          <w:iCs/>
        </w:rPr>
        <w:t xml:space="preserve"> meeting. </w:t>
      </w:r>
      <w:r>
        <w:rPr>
          <w:iCs/>
        </w:rPr>
        <w:t>No resolutions were presented to the committee this year.</w:t>
      </w:r>
      <w:r w:rsidR="001E1AE7" w:rsidRPr="001E1AE7">
        <w:t xml:space="preserve"> </w:t>
      </w:r>
      <w:r w:rsidR="001E1AE7">
        <w:t>Dr. Wolff also presented</w:t>
      </w:r>
      <w:r w:rsidR="00092FC4">
        <w:t xml:space="preserve"> information on</w:t>
      </w:r>
      <w:r w:rsidR="001E1AE7">
        <w:t xml:space="preserve"> the William R. Lance Award</w:t>
      </w:r>
      <w:r w:rsidR="00092FC4">
        <w:t xml:space="preserve">, which will target early career professionals performing research to investigate and develop safe and effective capture agents for use in captive and free-ranging wildlife. The objective is to </w:t>
      </w:r>
      <w:r w:rsidR="001E1AE7">
        <w:t>establish an endowment for the award.</w:t>
      </w:r>
    </w:p>
    <w:p w14:paraId="77DB227F" w14:textId="32520AC7" w:rsidR="00932C17" w:rsidRDefault="00932C17" w:rsidP="00384EA8">
      <w:pPr>
        <w:ind w:left="360" w:firstLine="360"/>
        <w:rPr>
          <w:iCs/>
        </w:rPr>
      </w:pPr>
    </w:p>
    <w:p w14:paraId="5D241EEB" w14:textId="77777777" w:rsidR="0095554B" w:rsidRDefault="0095554B" w:rsidP="00384EA8">
      <w:pPr>
        <w:ind w:left="360"/>
      </w:pPr>
    </w:p>
    <w:p w14:paraId="1357F152" w14:textId="72E1D7E3" w:rsidR="0095554B" w:rsidRDefault="0095554B" w:rsidP="00384EA8">
      <w:pPr>
        <w:ind w:left="360"/>
      </w:pPr>
      <w:r>
        <w:t xml:space="preserve"> </w:t>
      </w:r>
      <w:bookmarkStart w:id="1" w:name="_GoBack"/>
      <w:bookmarkEnd w:id="1"/>
    </w:p>
    <w:sectPr w:rsidR="0095554B" w:rsidSect="00FF4E21">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092FC4"/>
    <w:rsid w:val="00126A90"/>
    <w:rsid w:val="0014511D"/>
    <w:rsid w:val="00154ED8"/>
    <w:rsid w:val="0019663B"/>
    <w:rsid w:val="001E1AE7"/>
    <w:rsid w:val="001E313B"/>
    <w:rsid w:val="00250768"/>
    <w:rsid w:val="002647A2"/>
    <w:rsid w:val="002D2DC7"/>
    <w:rsid w:val="00301AF3"/>
    <w:rsid w:val="00384EA8"/>
    <w:rsid w:val="00445991"/>
    <w:rsid w:val="00463CCF"/>
    <w:rsid w:val="004A536D"/>
    <w:rsid w:val="004A5FAC"/>
    <w:rsid w:val="004D0119"/>
    <w:rsid w:val="0053084B"/>
    <w:rsid w:val="005C36E6"/>
    <w:rsid w:val="00650B10"/>
    <w:rsid w:val="00684BA2"/>
    <w:rsid w:val="008356A6"/>
    <w:rsid w:val="008D5CF9"/>
    <w:rsid w:val="00917B4C"/>
    <w:rsid w:val="00932C17"/>
    <w:rsid w:val="0095554B"/>
    <w:rsid w:val="0096374C"/>
    <w:rsid w:val="0099068B"/>
    <w:rsid w:val="009A76A4"/>
    <w:rsid w:val="00A236B3"/>
    <w:rsid w:val="00B469E7"/>
    <w:rsid w:val="00BB0E56"/>
    <w:rsid w:val="00BE339E"/>
    <w:rsid w:val="00C4088D"/>
    <w:rsid w:val="00C70183"/>
    <w:rsid w:val="00CB5DB7"/>
    <w:rsid w:val="00D01952"/>
    <w:rsid w:val="00D722E2"/>
    <w:rsid w:val="00EE2E7A"/>
    <w:rsid w:val="00EF4F88"/>
    <w:rsid w:val="00F002F1"/>
    <w:rsid w:val="00FB5AAA"/>
    <w:rsid w:val="00FF4E21"/>
    <w:rsid w:val="00FF72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character" w:styleId="UnresolvedMention">
    <w:name w:val="Unresolved Mention"/>
    <w:basedOn w:val="DefaultParagraphFont"/>
    <w:uiPriority w:val="99"/>
    <w:semiHidden/>
    <w:unhideWhenUsed/>
    <w:rsid w:val="002507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188520">
      <w:bodyDiv w:val="1"/>
      <w:marLeft w:val="0"/>
      <w:marRight w:val="0"/>
      <w:marTop w:val="0"/>
      <w:marBottom w:val="0"/>
      <w:divBdr>
        <w:top w:val="none" w:sz="0" w:space="0" w:color="auto"/>
        <w:left w:val="none" w:sz="0" w:space="0" w:color="auto"/>
        <w:bottom w:val="none" w:sz="0" w:space="0" w:color="auto"/>
        <w:right w:val="none" w:sz="0" w:space="0" w:color="auto"/>
      </w:divBdr>
      <w:divsChild>
        <w:div w:id="1251620056">
          <w:marLeft w:val="0"/>
          <w:marRight w:val="0"/>
          <w:marTop w:val="0"/>
          <w:marBottom w:val="0"/>
          <w:divBdr>
            <w:top w:val="none" w:sz="0" w:space="0" w:color="auto"/>
            <w:left w:val="none" w:sz="0" w:space="0" w:color="auto"/>
            <w:bottom w:val="none" w:sz="0" w:space="0" w:color="auto"/>
            <w:right w:val="none" w:sz="0" w:space="0" w:color="auto"/>
          </w:divBdr>
        </w:div>
        <w:div w:id="1806124169">
          <w:marLeft w:val="0"/>
          <w:marRight w:val="0"/>
          <w:marTop w:val="0"/>
          <w:marBottom w:val="0"/>
          <w:divBdr>
            <w:top w:val="none" w:sz="0" w:space="0" w:color="auto"/>
            <w:left w:val="none" w:sz="0" w:space="0" w:color="auto"/>
            <w:bottom w:val="none" w:sz="0" w:space="0" w:color="auto"/>
            <w:right w:val="none" w:sz="0" w:space="0" w:color="auto"/>
          </w:divBdr>
        </w:div>
        <w:div w:id="1318650922">
          <w:marLeft w:val="0"/>
          <w:marRight w:val="0"/>
          <w:marTop w:val="0"/>
          <w:marBottom w:val="0"/>
          <w:divBdr>
            <w:top w:val="none" w:sz="0" w:space="0" w:color="auto"/>
            <w:left w:val="none" w:sz="0" w:space="0" w:color="auto"/>
            <w:bottom w:val="none" w:sz="0" w:space="0" w:color="auto"/>
            <w:right w:val="none" w:sz="0" w:space="0" w:color="auto"/>
          </w:divBdr>
        </w:div>
        <w:div w:id="1286307095">
          <w:marLeft w:val="0"/>
          <w:marRight w:val="0"/>
          <w:marTop w:val="0"/>
          <w:marBottom w:val="0"/>
          <w:divBdr>
            <w:top w:val="none" w:sz="0" w:space="0" w:color="auto"/>
            <w:left w:val="none" w:sz="0" w:space="0" w:color="auto"/>
            <w:bottom w:val="none" w:sz="0" w:space="0" w:color="auto"/>
            <w:right w:val="none" w:sz="0" w:space="0" w:color="auto"/>
          </w:divBdr>
        </w:div>
        <w:div w:id="53047535">
          <w:marLeft w:val="0"/>
          <w:marRight w:val="0"/>
          <w:marTop w:val="0"/>
          <w:marBottom w:val="0"/>
          <w:divBdr>
            <w:top w:val="none" w:sz="0" w:space="0" w:color="auto"/>
            <w:left w:val="none" w:sz="0" w:space="0" w:color="auto"/>
            <w:bottom w:val="none" w:sz="0" w:space="0" w:color="auto"/>
            <w:right w:val="none" w:sz="0" w:space="0" w:color="auto"/>
          </w:divBdr>
        </w:div>
      </w:divsChild>
    </w:div>
    <w:div w:id="581835068">
      <w:bodyDiv w:val="1"/>
      <w:marLeft w:val="0"/>
      <w:marRight w:val="0"/>
      <w:marTop w:val="0"/>
      <w:marBottom w:val="0"/>
      <w:divBdr>
        <w:top w:val="none" w:sz="0" w:space="0" w:color="auto"/>
        <w:left w:val="none" w:sz="0" w:space="0" w:color="auto"/>
        <w:bottom w:val="none" w:sz="0" w:space="0" w:color="auto"/>
        <w:right w:val="none" w:sz="0" w:space="0" w:color="auto"/>
      </w:divBdr>
    </w:div>
    <w:div w:id="1294210308">
      <w:bodyDiv w:val="1"/>
      <w:marLeft w:val="0"/>
      <w:marRight w:val="0"/>
      <w:marTop w:val="0"/>
      <w:marBottom w:val="0"/>
      <w:divBdr>
        <w:top w:val="none" w:sz="0" w:space="0" w:color="auto"/>
        <w:left w:val="none" w:sz="0" w:space="0" w:color="auto"/>
        <w:bottom w:val="none" w:sz="0" w:space="0" w:color="auto"/>
        <w:right w:val="none" w:sz="0" w:space="0" w:color="auto"/>
      </w:divBdr>
    </w:div>
    <w:div w:id="1459178627">
      <w:bodyDiv w:val="1"/>
      <w:marLeft w:val="0"/>
      <w:marRight w:val="0"/>
      <w:marTop w:val="0"/>
      <w:marBottom w:val="0"/>
      <w:divBdr>
        <w:top w:val="none" w:sz="0" w:space="0" w:color="auto"/>
        <w:left w:val="none" w:sz="0" w:space="0" w:color="auto"/>
        <w:bottom w:val="none" w:sz="0" w:space="0" w:color="auto"/>
        <w:right w:val="none" w:sz="0" w:space="0" w:color="auto"/>
      </w:divBdr>
    </w:div>
    <w:div w:id="2137216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op4cwd.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3</Pages>
  <Words>1390</Words>
  <Characters>7929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MGR</cp:lastModifiedBy>
  <cp:revision>13</cp:revision>
  <dcterms:created xsi:type="dcterms:W3CDTF">2025-11-03T16:17:00Z</dcterms:created>
  <dcterms:modified xsi:type="dcterms:W3CDTF">2025-11-04T18:24:00Z</dcterms:modified>
</cp:coreProperties>
</file>