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430A57" w14:textId="77777777" w:rsidR="00272EB4" w:rsidRPr="00F433A9" w:rsidRDefault="00272EB4" w:rsidP="00272EB4">
      <w:pPr>
        <w:pStyle w:val="Heading1"/>
        <w:rPr>
          <w:rFonts w:cs="Arial"/>
        </w:rPr>
      </w:pPr>
      <w:r w:rsidRPr="00F433A9">
        <w:rPr>
          <w:rFonts w:cs="Arial"/>
        </w:rPr>
        <w:t>USAHA/AAVLD Committee on Animal Health Surveillance and Information Systems</w:t>
      </w:r>
    </w:p>
    <w:p w14:paraId="0F42FCE4" w14:textId="182EAA7B" w:rsidR="00272EB4" w:rsidRPr="00F433A9" w:rsidRDefault="00272EB4" w:rsidP="00272EB4">
      <w:pPr>
        <w:jc w:val="center"/>
        <w:rPr>
          <w:rFonts w:cs="Arial"/>
          <w:color w:val="000000"/>
        </w:rPr>
      </w:pPr>
      <w:r w:rsidRPr="00F433A9">
        <w:rPr>
          <w:rFonts w:cs="Arial"/>
          <w:color w:val="000000"/>
        </w:rPr>
        <w:t xml:space="preserve">Co-Chair: </w:t>
      </w:r>
      <w:r w:rsidR="0076249E">
        <w:rPr>
          <w:rFonts w:cs="Arial"/>
          <w:color w:val="000000"/>
        </w:rPr>
        <w:t>Brian McCluskey</w:t>
      </w:r>
      <w:r w:rsidRPr="00F433A9">
        <w:rPr>
          <w:rFonts w:cs="Arial"/>
          <w:color w:val="000000"/>
        </w:rPr>
        <w:t xml:space="preserve">, </w:t>
      </w:r>
      <w:r w:rsidR="0076249E">
        <w:rPr>
          <w:rFonts w:cs="Arial"/>
          <w:color w:val="000000"/>
        </w:rPr>
        <w:t>CO</w:t>
      </w:r>
      <w:r w:rsidRPr="00F433A9">
        <w:rPr>
          <w:rFonts w:cs="Arial"/>
          <w:color w:val="000000"/>
        </w:rPr>
        <w:t xml:space="preserve"> (USAHA)</w:t>
      </w:r>
    </w:p>
    <w:p w14:paraId="7C45F2AA" w14:textId="7DBBB5B8" w:rsidR="00272EB4" w:rsidRPr="005D4F00" w:rsidRDefault="00272EB4" w:rsidP="00272EB4">
      <w:pPr>
        <w:jc w:val="center"/>
        <w:rPr>
          <w:rFonts w:cs="Arial"/>
          <w:color w:val="000000"/>
          <w:lang w:val="pt-BR"/>
        </w:rPr>
      </w:pPr>
      <w:r w:rsidRPr="005D4F00">
        <w:rPr>
          <w:rFonts w:cs="Arial"/>
          <w:color w:val="000000"/>
          <w:lang w:val="pt-BR"/>
        </w:rPr>
        <w:t xml:space="preserve">Co-Chair: </w:t>
      </w:r>
      <w:r w:rsidR="005D4F00" w:rsidRPr="005D4F00">
        <w:rPr>
          <w:rFonts w:cs="Arial"/>
          <w:color w:val="000000"/>
          <w:lang w:val="pt-BR"/>
        </w:rPr>
        <w:t>Leticia Linhares</w:t>
      </w:r>
      <w:r w:rsidRPr="005D4F00">
        <w:rPr>
          <w:rFonts w:cs="Arial"/>
          <w:color w:val="000000"/>
          <w:lang w:val="pt-BR"/>
        </w:rPr>
        <w:t>, IA (AAVLD)</w:t>
      </w:r>
    </w:p>
    <w:p w14:paraId="57D75E35" w14:textId="77777777" w:rsidR="00272EB4" w:rsidRPr="005D4F00" w:rsidRDefault="00272EB4" w:rsidP="00272EB4">
      <w:pPr>
        <w:jc w:val="center"/>
        <w:rPr>
          <w:rFonts w:cs="Arial"/>
          <w:color w:val="000000"/>
          <w:lang w:val="pt-BR"/>
        </w:rPr>
      </w:pPr>
    </w:p>
    <w:p w14:paraId="4F562783" w14:textId="4F6289B3" w:rsidR="00CE5A39" w:rsidRPr="006B2BC1" w:rsidRDefault="0076249E" w:rsidP="00B14887">
      <w:pPr>
        <w:rPr>
          <w:rFonts w:cs="Arial"/>
        </w:rPr>
      </w:pPr>
      <w:bookmarkStart w:id="0" w:name="_Hlk494378048"/>
      <w:r w:rsidRPr="00F433A9">
        <w:rPr>
          <w:rFonts w:cs="Arial"/>
        </w:rPr>
        <w:t xml:space="preserve">The Committee met </w:t>
      </w:r>
      <w:r>
        <w:rPr>
          <w:rFonts w:cs="Arial"/>
        </w:rPr>
        <w:t>in person at the</w:t>
      </w:r>
      <w:r w:rsidRPr="00F433A9">
        <w:rPr>
          <w:rFonts w:cs="Arial"/>
        </w:rPr>
        <w:t xml:space="preserve"> 202</w:t>
      </w:r>
      <w:r w:rsidR="005D4F00">
        <w:rPr>
          <w:rFonts w:cs="Arial"/>
        </w:rPr>
        <w:t>5</w:t>
      </w:r>
      <w:r>
        <w:rPr>
          <w:rFonts w:cs="Arial"/>
        </w:rPr>
        <w:t xml:space="preserve"> annual meeting in </w:t>
      </w:r>
      <w:r w:rsidR="005D4F00">
        <w:rPr>
          <w:rFonts w:cs="Arial"/>
        </w:rPr>
        <w:t>Denver</w:t>
      </w:r>
      <w:r>
        <w:rPr>
          <w:rFonts w:cs="Arial"/>
        </w:rPr>
        <w:t xml:space="preserve">, </w:t>
      </w:r>
      <w:r w:rsidR="005D4F00">
        <w:rPr>
          <w:rFonts w:cs="Arial"/>
        </w:rPr>
        <w:t>CO</w:t>
      </w:r>
      <w:r w:rsidRPr="00F433A9">
        <w:rPr>
          <w:rFonts w:cs="Arial"/>
        </w:rPr>
        <w:t xml:space="preserve">. Committee members met in person in </w:t>
      </w:r>
      <w:r w:rsidR="005D4F00">
        <w:rPr>
          <w:rFonts w:cs="Arial"/>
        </w:rPr>
        <w:t>Denver</w:t>
      </w:r>
      <w:r>
        <w:rPr>
          <w:rFonts w:cs="Arial"/>
        </w:rPr>
        <w:t xml:space="preserve"> </w:t>
      </w:r>
      <w:r w:rsidRPr="00F433A9">
        <w:rPr>
          <w:rFonts w:cs="Arial"/>
        </w:rPr>
        <w:t xml:space="preserve">on Monday, </w:t>
      </w:r>
      <w:r w:rsidR="005D4F00">
        <w:rPr>
          <w:rFonts w:cs="Arial"/>
        </w:rPr>
        <w:t>November 3rd</w:t>
      </w:r>
      <w:r>
        <w:rPr>
          <w:rFonts w:cs="Arial"/>
        </w:rPr>
        <w:t>,</w:t>
      </w:r>
      <w:r w:rsidRPr="00F433A9">
        <w:rPr>
          <w:rFonts w:cs="Arial"/>
        </w:rPr>
        <w:t xml:space="preserve"> </w:t>
      </w:r>
      <w:r>
        <w:rPr>
          <w:rFonts w:cs="Arial"/>
        </w:rPr>
        <w:t>commencing at</w:t>
      </w:r>
      <w:r w:rsidRPr="00F433A9">
        <w:rPr>
          <w:rFonts w:cs="Arial"/>
        </w:rPr>
        <w:t xml:space="preserve"> </w:t>
      </w:r>
      <w:r>
        <w:rPr>
          <w:rFonts w:cs="Arial"/>
        </w:rPr>
        <w:t>10</w:t>
      </w:r>
      <w:r w:rsidRPr="00F433A9">
        <w:rPr>
          <w:rFonts w:cs="Arial"/>
        </w:rPr>
        <w:t>:</w:t>
      </w:r>
      <w:r w:rsidR="005D4F00">
        <w:rPr>
          <w:rFonts w:cs="Arial"/>
        </w:rPr>
        <w:t>00</w:t>
      </w:r>
      <w:r w:rsidRPr="00F433A9">
        <w:rPr>
          <w:rFonts w:cs="Arial"/>
        </w:rPr>
        <w:t xml:space="preserve"> </w:t>
      </w:r>
      <w:r>
        <w:rPr>
          <w:rFonts w:cs="Arial"/>
        </w:rPr>
        <w:t xml:space="preserve">am </w:t>
      </w:r>
      <w:r w:rsidR="00642985">
        <w:rPr>
          <w:rFonts w:cs="Arial"/>
        </w:rPr>
        <w:t>MST</w:t>
      </w:r>
      <w:r>
        <w:rPr>
          <w:rFonts w:cs="Arial"/>
        </w:rPr>
        <w:t xml:space="preserve">. </w:t>
      </w:r>
      <w:r w:rsidRPr="000A634D">
        <w:rPr>
          <w:rFonts w:cs="Arial"/>
        </w:rPr>
        <w:t xml:space="preserve">An initial headcount determined that </w:t>
      </w:r>
      <w:r w:rsidR="00642985">
        <w:rPr>
          <w:rFonts w:cs="Arial"/>
        </w:rPr>
        <w:t>115</w:t>
      </w:r>
      <w:r w:rsidR="005015AE" w:rsidRPr="000A634D">
        <w:rPr>
          <w:rFonts w:cs="Arial"/>
        </w:rPr>
        <w:t xml:space="preserve"> </w:t>
      </w:r>
      <w:r w:rsidRPr="000A634D">
        <w:rPr>
          <w:rFonts w:cs="Arial"/>
        </w:rPr>
        <w:t xml:space="preserve">individuals were present in the meeting room and standing at the access door. The meeting was adjourned at </w:t>
      </w:r>
      <w:r w:rsidRPr="00642985">
        <w:rPr>
          <w:rFonts w:cs="Arial"/>
        </w:rPr>
        <w:t>12:</w:t>
      </w:r>
      <w:r w:rsidR="00642985" w:rsidRPr="00642985">
        <w:rPr>
          <w:rFonts w:cs="Arial"/>
        </w:rPr>
        <w:t>03</w:t>
      </w:r>
      <w:r w:rsidRPr="00642985">
        <w:rPr>
          <w:rFonts w:cs="Arial"/>
        </w:rPr>
        <w:t xml:space="preserve"> pm </w:t>
      </w:r>
      <w:r w:rsidR="00642985" w:rsidRPr="00642985">
        <w:rPr>
          <w:rFonts w:cs="Arial"/>
        </w:rPr>
        <w:t>MST</w:t>
      </w:r>
      <w:r w:rsidRPr="00642985">
        <w:rPr>
          <w:rFonts w:cs="Arial"/>
        </w:rPr>
        <w:t xml:space="preserve">. </w:t>
      </w:r>
      <w:r w:rsidR="00424748" w:rsidRPr="00642985">
        <w:rPr>
          <w:rFonts w:cs="Arial"/>
        </w:rPr>
        <w:t>A</w:t>
      </w:r>
      <w:r w:rsidRPr="00642985">
        <w:rPr>
          <w:rFonts w:cs="Arial"/>
        </w:rPr>
        <w:t xml:space="preserve">ttendance </w:t>
      </w:r>
      <w:r w:rsidR="00FE3751" w:rsidRPr="00642985">
        <w:rPr>
          <w:rFonts w:cs="Arial"/>
        </w:rPr>
        <w:t xml:space="preserve">was taken online </w:t>
      </w:r>
      <w:r w:rsidR="005D4F00" w:rsidRPr="00642985">
        <w:rPr>
          <w:rFonts w:cs="Arial"/>
        </w:rPr>
        <w:t>through</w:t>
      </w:r>
      <w:r w:rsidR="00FE3751" w:rsidRPr="00642985">
        <w:rPr>
          <w:rFonts w:cs="Arial"/>
        </w:rPr>
        <w:t xml:space="preserve"> the QR code sign</w:t>
      </w:r>
      <w:r w:rsidRPr="00642985">
        <w:rPr>
          <w:rFonts w:cs="Arial"/>
        </w:rPr>
        <w:t xml:space="preserve">. No discussion was warranted on previous resolutions. </w:t>
      </w:r>
      <w:r w:rsidR="005D4F00" w:rsidRPr="00642985">
        <w:rPr>
          <w:rFonts w:cs="Arial"/>
        </w:rPr>
        <w:t xml:space="preserve">One </w:t>
      </w:r>
      <w:r w:rsidRPr="00642985">
        <w:rPr>
          <w:rFonts w:cs="Arial"/>
        </w:rPr>
        <w:t xml:space="preserve">proposed resolution was sent electronically to committee members </w:t>
      </w:r>
      <w:r w:rsidR="005D4F00" w:rsidRPr="00642985">
        <w:rPr>
          <w:rFonts w:cs="Arial"/>
        </w:rPr>
        <w:t>in advance</w:t>
      </w:r>
      <w:r w:rsidRPr="00642985">
        <w:rPr>
          <w:rFonts w:cs="Arial"/>
        </w:rPr>
        <w:t xml:space="preserve"> for consideration and discussion at the in-person gathering.</w:t>
      </w:r>
      <w:r w:rsidR="00744581" w:rsidRPr="00642985">
        <w:rPr>
          <w:rFonts w:cs="Arial"/>
        </w:rPr>
        <w:t xml:space="preserve"> No resolutions </w:t>
      </w:r>
      <w:r w:rsidR="000A634D" w:rsidRPr="00642985">
        <w:rPr>
          <w:rFonts w:cs="Arial"/>
        </w:rPr>
        <w:t>were</w:t>
      </w:r>
      <w:r w:rsidR="00187963" w:rsidRPr="00642985">
        <w:rPr>
          <w:rFonts w:cs="Arial"/>
        </w:rPr>
        <w:t xml:space="preserve"> brought forward from the floor.</w:t>
      </w:r>
      <w:r w:rsidR="00187963">
        <w:rPr>
          <w:rFonts w:cs="Arial"/>
        </w:rPr>
        <w:t xml:space="preserve"> </w:t>
      </w:r>
    </w:p>
    <w:p w14:paraId="47145633" w14:textId="77777777" w:rsidR="00CE5A39" w:rsidRPr="006B2BC1" w:rsidRDefault="00CE5A39" w:rsidP="00B14887">
      <w:pPr>
        <w:rPr>
          <w:rFonts w:cs="Arial"/>
        </w:rPr>
      </w:pPr>
    </w:p>
    <w:p w14:paraId="7A380125" w14:textId="63AE486F" w:rsidR="00831225" w:rsidRDefault="00022A52" w:rsidP="00022A52">
      <w:pPr>
        <w:rPr>
          <w:rFonts w:cs="Arial"/>
          <w:b/>
          <w:bCs/>
        </w:rPr>
      </w:pPr>
      <w:r w:rsidRPr="00930D72">
        <w:rPr>
          <w:rFonts w:cs="Arial"/>
          <w:b/>
          <w:bCs/>
        </w:rPr>
        <w:t>Presentations and Reports:</w:t>
      </w:r>
    </w:p>
    <w:p w14:paraId="70CDB2C7" w14:textId="77777777" w:rsidR="001E7835" w:rsidRDefault="001E7835" w:rsidP="00022A52">
      <w:pPr>
        <w:rPr>
          <w:rFonts w:cs="Arial"/>
          <w:b/>
          <w:bCs/>
        </w:rPr>
      </w:pPr>
    </w:p>
    <w:p w14:paraId="58D17E38" w14:textId="77777777" w:rsidR="00EB1CC1" w:rsidRDefault="00EB1CC1" w:rsidP="00022A52">
      <w:pPr>
        <w:rPr>
          <w:rFonts w:cs="Arial"/>
          <w:b/>
          <w:bCs/>
        </w:rPr>
      </w:pPr>
      <w:r w:rsidRPr="00EB1CC1">
        <w:rPr>
          <w:rFonts w:cs="Arial"/>
          <w:b/>
          <w:bCs/>
        </w:rPr>
        <w:t>Equine disease surveillance</w:t>
      </w:r>
    </w:p>
    <w:p w14:paraId="5AE8CB23" w14:textId="5AE5F6F0" w:rsidR="00EB1CC1" w:rsidRDefault="00EB1CC1" w:rsidP="009E3656">
      <w:pPr>
        <w:rPr>
          <w:rFonts w:cs="Arial"/>
          <w:b/>
          <w:bCs/>
        </w:rPr>
      </w:pPr>
      <w:bookmarkStart w:id="1" w:name="_Hlk212975413"/>
      <w:r w:rsidRPr="00C0579C">
        <w:rPr>
          <w:rFonts w:cs="Arial"/>
          <w:b/>
          <w:bCs/>
        </w:rPr>
        <w:t xml:space="preserve">Angela </w:t>
      </w:r>
      <w:r w:rsidR="009E3656" w:rsidRPr="00C0579C">
        <w:rPr>
          <w:rFonts w:cs="Arial"/>
          <w:b/>
          <w:bCs/>
        </w:rPr>
        <w:t>Pelzel-McCluskey</w:t>
      </w:r>
      <w:bookmarkEnd w:id="1"/>
      <w:r w:rsidR="009E3656" w:rsidRPr="00C0579C">
        <w:rPr>
          <w:rFonts w:cs="Arial"/>
          <w:b/>
          <w:bCs/>
        </w:rPr>
        <w:t>, DVM, MS,</w:t>
      </w:r>
      <w:r w:rsidR="000B6A6E" w:rsidRPr="00C0579C">
        <w:rPr>
          <w:rFonts w:cs="Arial"/>
          <w:b/>
          <w:bCs/>
        </w:rPr>
        <w:t xml:space="preserve"> </w:t>
      </w:r>
      <w:r w:rsidR="009E3656" w:rsidRPr="009E3656">
        <w:rPr>
          <w:rFonts w:cs="Arial"/>
          <w:b/>
          <w:bCs/>
        </w:rPr>
        <w:t>USDA-APHIS-Veterinary Services</w:t>
      </w:r>
    </w:p>
    <w:p w14:paraId="2162695C" w14:textId="77777777" w:rsidR="00B1260B" w:rsidRPr="00B1260B" w:rsidRDefault="00B1260B" w:rsidP="00B1260B">
      <w:pPr>
        <w:rPr>
          <w:rFonts w:cs="Arial"/>
        </w:rPr>
      </w:pPr>
    </w:p>
    <w:p w14:paraId="1A94BCF9" w14:textId="1B945E43" w:rsidR="00B1260B" w:rsidRPr="00B1260B" w:rsidRDefault="00987E5E" w:rsidP="00B1260B">
      <w:pPr>
        <w:rPr>
          <w:rFonts w:cs="Arial"/>
        </w:rPr>
      </w:pPr>
      <w:r>
        <w:rPr>
          <w:rFonts w:cs="Arial"/>
        </w:rPr>
        <w:t xml:space="preserve">Dr. </w:t>
      </w:r>
      <w:r w:rsidRPr="00987E5E">
        <w:rPr>
          <w:rFonts w:cs="Arial"/>
        </w:rPr>
        <w:t xml:space="preserve">Angela Pelzel-McCluskey </w:t>
      </w:r>
      <w:r w:rsidR="00B1260B" w:rsidRPr="00B1260B">
        <w:rPr>
          <w:rFonts w:cs="Arial"/>
        </w:rPr>
        <w:t>provide</w:t>
      </w:r>
      <w:r w:rsidR="00A97648">
        <w:rPr>
          <w:rFonts w:cs="Arial"/>
        </w:rPr>
        <w:t>d</w:t>
      </w:r>
      <w:r w:rsidR="00B1260B" w:rsidRPr="00B1260B">
        <w:rPr>
          <w:rFonts w:cs="Arial"/>
        </w:rPr>
        <w:t xml:space="preserve"> an overview of the equine regulatory diseases and their associated surveillance streams in which detailed data management and information sharing </w:t>
      </w:r>
      <w:r w:rsidR="00A97648">
        <w:rPr>
          <w:rFonts w:cs="Arial"/>
        </w:rPr>
        <w:t>are</w:t>
      </w:r>
      <w:r w:rsidR="00B1260B" w:rsidRPr="00B1260B">
        <w:rPr>
          <w:rFonts w:cs="Arial"/>
        </w:rPr>
        <w:t xml:space="preserve"> routinely employed beyond that which is captured through USDA’s National Animal Health Reporting System (NAHRS).  The Equine Disease Communication Center (EDCC), a joint industry-state-federal initiative launched in 2015, serves as a public-facing online platform providing equine infectious disease alerts which have been diagnostically confirmed and approved for information release by state animal health officials (</w:t>
      </w:r>
      <w:proofErr w:type="gramStart"/>
      <w:r w:rsidR="00B1260B" w:rsidRPr="00B1260B">
        <w:rPr>
          <w:rFonts w:cs="Arial"/>
        </w:rPr>
        <w:t>www.equinediseasecc.org )</w:t>
      </w:r>
      <w:proofErr w:type="gramEnd"/>
      <w:r w:rsidR="00B1260B" w:rsidRPr="00B1260B">
        <w:rPr>
          <w:rFonts w:cs="Arial"/>
        </w:rPr>
        <w:t>.</w:t>
      </w:r>
      <w:r w:rsidR="00A97648">
        <w:rPr>
          <w:rFonts w:cs="Arial"/>
        </w:rPr>
        <w:t xml:space="preserve"> </w:t>
      </w:r>
      <w:r w:rsidR="00B1260B" w:rsidRPr="00B1260B">
        <w:rPr>
          <w:rFonts w:cs="Arial"/>
        </w:rPr>
        <w:t>The Equine Arbovirus Dashboard (</w:t>
      </w:r>
      <w:hyperlink r:id="rId9" w:history="1">
        <w:r w:rsidR="00AD706B" w:rsidRPr="00404C7B">
          <w:rPr>
            <w:rStyle w:val="Hyperlink"/>
            <w:rFonts w:cs="Arial"/>
          </w:rPr>
          <w:t>https://www.aphis.usda.gov/livestock-poultry-disease/equine/arbovirus-dashboard</w:t>
        </w:r>
      </w:hyperlink>
      <w:r w:rsidR="00AD706B">
        <w:rPr>
          <w:rFonts w:cs="Arial"/>
        </w:rPr>
        <w:t>)</w:t>
      </w:r>
      <w:r w:rsidR="00B1260B" w:rsidRPr="00B1260B">
        <w:rPr>
          <w:rFonts w:cs="Arial"/>
        </w:rPr>
        <w:t xml:space="preserve"> is a recently deployed online tool publicly available on the USDA-APHIS website which provides up-to-date information on confirmed cases of Eastern equine encephalitis and West Nile virus in horses in an interactive and searchable format.</w:t>
      </w:r>
    </w:p>
    <w:p w14:paraId="59DEF17D" w14:textId="77777777" w:rsidR="00C06DFF" w:rsidRDefault="00B1260B" w:rsidP="00D67AF5">
      <w:pPr>
        <w:rPr>
          <w:rFonts w:cs="Arial"/>
        </w:rPr>
      </w:pPr>
      <w:r w:rsidRPr="00B1260B">
        <w:rPr>
          <w:rFonts w:cs="Arial"/>
        </w:rPr>
        <w:t xml:space="preserve">One of the highest volume animal disease surveillance streams in the world, equine infectious anemia (EIA) active testing the U.S. averages approximately 1.3 million tests per year.  Conducted by nearly 400 EIA-approved laboratories, monthly summary testing data flows directly from laboratories to USDA-APHIS’s Data Integration Services (DIS) platform where it is readily accessible by state and federal animal health officials.  Innovations to the data entry pathway in 2025 have improved data quality and validation by allowing laboratories the option of direct data entry into DIS via secure weblink unique to the lab and accessible without previously cumbersome </w:t>
      </w:r>
      <w:proofErr w:type="spellStart"/>
      <w:r w:rsidRPr="00B1260B">
        <w:rPr>
          <w:rFonts w:cs="Arial"/>
        </w:rPr>
        <w:t>eAuthentication</w:t>
      </w:r>
      <w:proofErr w:type="spellEnd"/>
      <w:r w:rsidRPr="00B1260B">
        <w:rPr>
          <w:rFonts w:cs="Arial"/>
        </w:rPr>
        <w:t xml:space="preserve"> steps.  A publicly available online EIA Dashboard is planned in the future to replace posted annual reports and provide an interactive and searchable platform for EIA data </w:t>
      </w:r>
      <w:proofErr w:type="gramStart"/>
      <w:r w:rsidRPr="00B1260B">
        <w:rPr>
          <w:rFonts w:cs="Arial"/>
        </w:rPr>
        <w:t>similar to</w:t>
      </w:r>
      <w:proofErr w:type="gramEnd"/>
      <w:r w:rsidRPr="00B1260B">
        <w:rPr>
          <w:rFonts w:cs="Arial"/>
        </w:rPr>
        <w:t xml:space="preserve"> that currently provided by the Equine Arbovirus Dashboard.  Descriptions of data currently available via annual reports (EIA and equine piroplasmosis) and recent outbreak situation reports (vesicular stomatitis, contagious equine metritis) are also covered in the presentation.  Finally, an overview of a broad-based equine health data platform under development in DIS for internal USDA-APHIS users is provided along with a description of intended use and future capabilities for more robust equine disease reporting.</w:t>
      </w:r>
    </w:p>
    <w:p w14:paraId="1CC56180" w14:textId="77777777" w:rsidR="00C06DFF" w:rsidRDefault="00C06DFF" w:rsidP="00D67AF5">
      <w:pPr>
        <w:rPr>
          <w:rFonts w:cs="Arial"/>
        </w:rPr>
      </w:pPr>
    </w:p>
    <w:p w14:paraId="5FC7BAFC" w14:textId="77777777" w:rsidR="00661209" w:rsidRPr="00661209" w:rsidRDefault="00661209" w:rsidP="00661209">
      <w:pPr>
        <w:rPr>
          <w:rFonts w:cs="Arial"/>
          <w:b/>
          <w:bCs/>
        </w:rPr>
      </w:pPr>
      <w:r w:rsidRPr="00661209">
        <w:rPr>
          <w:rFonts w:cs="Arial"/>
          <w:b/>
          <w:bCs/>
        </w:rPr>
        <w:t>CDFA’s Dairy H5N1 Surveillance Lessons Learned</w:t>
      </w:r>
    </w:p>
    <w:p w14:paraId="0C5D360F" w14:textId="1777A6AF" w:rsidR="00661209" w:rsidRDefault="00661209" w:rsidP="00661209">
      <w:pPr>
        <w:rPr>
          <w:rFonts w:cs="Arial"/>
          <w:b/>
          <w:bCs/>
        </w:rPr>
      </w:pPr>
      <w:r w:rsidRPr="00661209">
        <w:rPr>
          <w:rFonts w:cs="Arial"/>
          <w:b/>
          <w:bCs/>
        </w:rPr>
        <w:t xml:space="preserve">Nicki Humphrey, </w:t>
      </w:r>
      <w:r w:rsidR="0080047B">
        <w:rPr>
          <w:rFonts w:cs="Arial"/>
          <w:b/>
          <w:bCs/>
        </w:rPr>
        <w:t xml:space="preserve">DVM, </w:t>
      </w:r>
      <w:r w:rsidRPr="00661209">
        <w:rPr>
          <w:rFonts w:cs="Arial"/>
          <w:b/>
          <w:bCs/>
        </w:rPr>
        <w:t>California Department of Food and Agriculture</w:t>
      </w:r>
    </w:p>
    <w:p w14:paraId="695C1D3C" w14:textId="77777777" w:rsidR="00661209" w:rsidRPr="00661209" w:rsidRDefault="00661209" w:rsidP="00661209">
      <w:pPr>
        <w:rPr>
          <w:rFonts w:cs="Arial"/>
          <w:b/>
          <w:bCs/>
        </w:rPr>
      </w:pPr>
    </w:p>
    <w:p w14:paraId="6EEF8F20" w14:textId="11B302DA" w:rsidR="00661209" w:rsidRPr="00661209" w:rsidRDefault="00AB4692" w:rsidP="00661209">
      <w:pPr>
        <w:rPr>
          <w:rFonts w:cs="Arial"/>
        </w:rPr>
      </w:pPr>
      <w:r>
        <w:rPr>
          <w:rFonts w:cs="Arial"/>
        </w:rPr>
        <w:t>Dr.</w:t>
      </w:r>
      <w:r w:rsidR="00A62343">
        <w:rPr>
          <w:rFonts w:cs="Arial"/>
        </w:rPr>
        <w:t xml:space="preserve"> </w:t>
      </w:r>
      <w:r w:rsidR="00A62343" w:rsidRPr="00A62343">
        <w:rPr>
          <w:rFonts w:cs="Arial"/>
        </w:rPr>
        <w:t xml:space="preserve">Nicki Humphrey </w:t>
      </w:r>
      <w:bookmarkStart w:id="2" w:name="_Hlk212976622"/>
      <w:r w:rsidRPr="00AB4692">
        <w:rPr>
          <w:rFonts w:cs="Arial"/>
        </w:rPr>
        <w:t xml:space="preserve">outlined that </w:t>
      </w:r>
      <w:bookmarkEnd w:id="2"/>
      <w:r w:rsidR="00A62343">
        <w:rPr>
          <w:rFonts w:cs="Arial"/>
        </w:rPr>
        <w:t>on August 30, 2024, H5N1 was confirmed in a California dairy,</w:t>
      </w:r>
      <w:r w:rsidR="00661209" w:rsidRPr="00661209">
        <w:rPr>
          <w:rFonts w:cs="Arial"/>
        </w:rPr>
        <w:t xml:space="preserve"> initiating the need for a milk surveillance program. California Department of Food and Agriculture (CDFA) Animal Health Branch (AHB) utilized Microsoft Excel, Emergency Management Response System (EMRS), and California’s state database, Emerging Threats (ET), to validate dairy business names and addresses and capture surveillance data. The method of collecting milk surveillance samples shifted as the outbreak expanded, beginning with providing producers with sample kits and having them submit samples </w:t>
      </w:r>
      <w:proofErr w:type="gramStart"/>
      <w:r w:rsidR="00661209" w:rsidRPr="00661209">
        <w:rPr>
          <w:rFonts w:cs="Arial"/>
        </w:rPr>
        <w:t>direct</w:t>
      </w:r>
      <w:proofErr w:type="gramEnd"/>
      <w:r w:rsidR="00661209" w:rsidRPr="00661209">
        <w:rPr>
          <w:rFonts w:cs="Arial"/>
        </w:rPr>
        <w:t xml:space="preserve"> from the dairy to the laboratory. CDFA realized challenges with producers submitting samples and within the first few months shifted to utilizing the state or county milk inspectors to collect samples within 10-20 km surveillance zones around H5N1 positive dairies. As the outbreak expanded further it became evident that statewide surveillance would be necessary at a frequency and volume that could not be managed by the milk inspectors. CDFA, in partnership with dairy creameries and their laboratories, shifted to utilizing </w:t>
      </w:r>
      <w:r w:rsidR="00661209" w:rsidRPr="00661209">
        <w:rPr>
          <w:rFonts w:cs="Arial"/>
        </w:rPr>
        <w:lastRenderedPageBreak/>
        <w:t xml:space="preserve">bulk tank samples collected by creameries at the time of milk pickup on dairies. Throughout the incident, CDFA has tracked the results in an excel spreadsheet that is used by the </w:t>
      </w:r>
      <w:proofErr w:type="gramStart"/>
      <w:r w:rsidR="00661209" w:rsidRPr="00661209">
        <w:rPr>
          <w:rFonts w:cs="Arial"/>
        </w:rPr>
        <w:t>Results</w:t>
      </w:r>
      <w:proofErr w:type="gramEnd"/>
      <w:r w:rsidR="00661209" w:rsidRPr="00661209">
        <w:rPr>
          <w:rFonts w:cs="Arial"/>
        </w:rPr>
        <w:t xml:space="preserve"> Coordinator to contact dairy producers via email or phone with their individual results. </w:t>
      </w:r>
    </w:p>
    <w:p w14:paraId="05B7C599" w14:textId="7752A8DF" w:rsidR="00661209" w:rsidRDefault="00661209" w:rsidP="00661209">
      <w:pPr>
        <w:rPr>
          <w:rFonts w:cs="Arial"/>
        </w:rPr>
      </w:pPr>
      <w:r w:rsidRPr="00661209">
        <w:rPr>
          <w:rFonts w:cs="Arial"/>
        </w:rPr>
        <w:t xml:space="preserve">CDFA epidemiologists utilized data generated from surveillance samples to develop more robust case definitions for negative, </w:t>
      </w:r>
      <w:proofErr w:type="spellStart"/>
      <w:r w:rsidRPr="00661209">
        <w:rPr>
          <w:rFonts w:cs="Arial"/>
        </w:rPr>
        <w:t>redected</w:t>
      </w:r>
      <w:proofErr w:type="spellEnd"/>
      <w:r w:rsidRPr="00661209">
        <w:rPr>
          <w:rFonts w:cs="Arial"/>
        </w:rPr>
        <w:t xml:space="preserve"> and </w:t>
      </w:r>
      <w:proofErr w:type="spellStart"/>
      <w:r w:rsidRPr="00661209">
        <w:rPr>
          <w:rFonts w:cs="Arial"/>
        </w:rPr>
        <w:t>requarantined</w:t>
      </w:r>
      <w:proofErr w:type="spellEnd"/>
      <w:r w:rsidRPr="00661209">
        <w:rPr>
          <w:rFonts w:cs="Arial"/>
        </w:rPr>
        <w:t xml:space="preserve"> herd status that were then acted upon with placing or removing movement controls. Surveillance data was also utilized to inform poultry producers when the virus had been detected near their operations. Through the process of collecting and evaluating surveillance samples CDFA has learned finding ways to automate processes helps enhance surveillance and efficiently utilize resources. CDFA in collaboration with NAHLN laboratories continues to explore ways to automate surveillance sampling and hopes to eventually have a producer portal for ease of accessing results.</w:t>
      </w:r>
    </w:p>
    <w:p w14:paraId="42B34F1F" w14:textId="77777777" w:rsidR="00A62343" w:rsidRDefault="00A62343" w:rsidP="00661209">
      <w:pPr>
        <w:rPr>
          <w:rFonts w:cs="Arial"/>
        </w:rPr>
      </w:pPr>
    </w:p>
    <w:p w14:paraId="289F001D" w14:textId="721FA17A" w:rsidR="00D3272D" w:rsidRDefault="00C54EDC" w:rsidP="00D67AF5">
      <w:pPr>
        <w:rPr>
          <w:rFonts w:cs="Arial"/>
          <w:b/>
          <w:bCs/>
        </w:rPr>
      </w:pPr>
      <w:r w:rsidRPr="00C54EDC">
        <w:rPr>
          <w:rFonts w:cs="Arial"/>
          <w:b/>
          <w:bCs/>
        </w:rPr>
        <w:t>Avian metapneumovirus surveillance conducted during outbreaks</w:t>
      </w:r>
    </w:p>
    <w:p w14:paraId="24D48A14" w14:textId="6E97BB4C" w:rsidR="009A41FE" w:rsidRDefault="00891C0A" w:rsidP="005B1EFE">
      <w:pPr>
        <w:rPr>
          <w:rFonts w:cs="Arial"/>
          <w:b/>
          <w:bCs/>
        </w:rPr>
      </w:pPr>
      <w:r>
        <w:rPr>
          <w:rFonts w:cs="Arial"/>
          <w:b/>
          <w:bCs/>
        </w:rPr>
        <w:t xml:space="preserve">Ben </w:t>
      </w:r>
      <w:r w:rsidR="00115007" w:rsidRPr="004B1F25">
        <w:rPr>
          <w:rFonts w:cs="Arial"/>
          <w:b/>
          <w:bCs/>
        </w:rPr>
        <w:t>Wileman,</w:t>
      </w:r>
      <w:r w:rsidR="004B1F25" w:rsidRPr="004B1F25">
        <w:rPr>
          <w:rFonts w:cs="Arial"/>
          <w:b/>
          <w:bCs/>
        </w:rPr>
        <w:t xml:space="preserve"> PhD,</w:t>
      </w:r>
      <w:r w:rsidR="00115007" w:rsidRPr="004B1F25">
        <w:rPr>
          <w:rFonts w:cs="Arial"/>
          <w:b/>
          <w:bCs/>
        </w:rPr>
        <w:t xml:space="preserve"> Director of Veterinary Services </w:t>
      </w:r>
      <w:r w:rsidR="004B1F25" w:rsidRPr="004B1F25">
        <w:rPr>
          <w:rFonts w:cs="Arial"/>
          <w:b/>
          <w:bCs/>
        </w:rPr>
        <w:t xml:space="preserve">of </w:t>
      </w:r>
      <w:r w:rsidR="00115007" w:rsidRPr="004B1F25">
        <w:rPr>
          <w:rFonts w:cs="Arial"/>
          <w:b/>
          <w:bCs/>
        </w:rPr>
        <w:t>Select Genetics</w:t>
      </w:r>
    </w:p>
    <w:p w14:paraId="505CBD8B" w14:textId="77777777" w:rsidR="00891C0A" w:rsidRPr="004B1F25" w:rsidRDefault="00891C0A" w:rsidP="005B1EFE">
      <w:pPr>
        <w:rPr>
          <w:rFonts w:cs="Arial"/>
          <w:b/>
          <w:bCs/>
        </w:rPr>
      </w:pPr>
    </w:p>
    <w:p w14:paraId="4D495B4A" w14:textId="60E5C6C4" w:rsidR="00EC5483" w:rsidRPr="00EC5483" w:rsidRDefault="00F245B7" w:rsidP="00EC5483">
      <w:pPr>
        <w:shd w:val="clear" w:color="auto" w:fill="FFFFFF"/>
        <w:rPr>
          <w:rFonts w:cs="Arial"/>
          <w:color w:val="242424"/>
        </w:rPr>
      </w:pPr>
      <w:r w:rsidRPr="00F245B7">
        <w:rPr>
          <w:rFonts w:cs="Arial"/>
          <w:color w:val="242424"/>
        </w:rPr>
        <w:t xml:space="preserve">This presentation </w:t>
      </w:r>
      <w:r w:rsidR="00113FC2">
        <w:rPr>
          <w:rFonts w:cs="Arial"/>
          <w:color w:val="242424"/>
        </w:rPr>
        <w:t>utilized the recent Avian Metapneumovirus (AMPV) outbreak as a case study to analyze areas for improvement in monitoring systems for</w:t>
      </w:r>
      <w:r w:rsidRPr="00F245B7">
        <w:rPr>
          <w:rFonts w:cs="Arial"/>
          <w:color w:val="242424"/>
        </w:rPr>
        <w:t xml:space="preserve"> future emerging disease situations. The speaker highlighted the unique diagnostic challenges encountered during the early phase of the outbreak and discussed strategies to enhance preparedness for future diseases. The session examined ongoing case identification efforts, which were complicated by a litany of concurrent infections across various poultry species, and explored the implications for real-time case identification and the development of simple case definitions. Additionally, the presentation addressed the challenges of tracking AMPV cases at local, state, and national levels and considered how these tracking efforts influence control strategies and regulatory responses.</w:t>
      </w:r>
    </w:p>
    <w:p w14:paraId="67997741" w14:textId="789F25DE" w:rsidR="000675FD" w:rsidRPr="00C864C7" w:rsidRDefault="000675FD" w:rsidP="00EC5483">
      <w:pPr>
        <w:shd w:val="clear" w:color="auto" w:fill="FFFFFF"/>
        <w:rPr>
          <w:rFonts w:cs="Arial"/>
          <w:color w:val="242424"/>
        </w:rPr>
      </w:pPr>
    </w:p>
    <w:p w14:paraId="35251358" w14:textId="77777777" w:rsidR="00B70385" w:rsidRPr="00B70385" w:rsidRDefault="00B70385" w:rsidP="005B1EFE">
      <w:pPr>
        <w:rPr>
          <w:rFonts w:cs="Arial"/>
          <w:b/>
          <w:bCs/>
        </w:rPr>
      </w:pPr>
      <w:r w:rsidRPr="00B70385">
        <w:rPr>
          <w:rFonts w:cs="Arial"/>
          <w:b/>
          <w:bCs/>
        </w:rPr>
        <w:t>PRRSV surveillance</w:t>
      </w:r>
    </w:p>
    <w:p w14:paraId="6647E4E7" w14:textId="56A10D98" w:rsidR="009C6BA6" w:rsidRDefault="00D954AD" w:rsidP="005B1EFE">
      <w:pPr>
        <w:rPr>
          <w:rFonts w:cs="Arial"/>
          <w:b/>
          <w:bCs/>
        </w:rPr>
      </w:pPr>
      <w:r w:rsidRPr="00D954AD">
        <w:rPr>
          <w:rFonts w:cs="Arial"/>
          <w:b/>
          <w:bCs/>
        </w:rPr>
        <w:t>Daniel Linhares, DVM, MBA, PhD, Professor &amp; Director of Graduate Education</w:t>
      </w:r>
      <w:r w:rsidR="00F346AA">
        <w:rPr>
          <w:rFonts w:cs="Arial"/>
          <w:b/>
          <w:bCs/>
        </w:rPr>
        <w:t>, Iowa State University</w:t>
      </w:r>
    </w:p>
    <w:p w14:paraId="5FC3C876" w14:textId="77777777" w:rsidR="00F55C95" w:rsidRPr="00D954AD" w:rsidRDefault="00F55C95" w:rsidP="005B1EFE">
      <w:pPr>
        <w:rPr>
          <w:rFonts w:cs="Arial"/>
          <w:b/>
          <w:bCs/>
        </w:rPr>
      </w:pPr>
    </w:p>
    <w:p w14:paraId="6A12F9BB" w14:textId="0C2EB666" w:rsidR="00F55C95" w:rsidRPr="00F55C95" w:rsidRDefault="00F55C95" w:rsidP="00F55C95">
      <w:pPr>
        <w:rPr>
          <w:rFonts w:cs="Arial"/>
        </w:rPr>
      </w:pPr>
      <w:r>
        <w:rPr>
          <w:rFonts w:cs="Arial"/>
        </w:rPr>
        <w:t>Dr. Linhares</w:t>
      </w:r>
      <w:r w:rsidRPr="00F55C95">
        <w:rPr>
          <w:rFonts w:cs="Arial"/>
        </w:rPr>
        <w:t xml:space="preserve"> highlight</w:t>
      </w:r>
      <w:r>
        <w:rPr>
          <w:rFonts w:cs="Arial"/>
        </w:rPr>
        <w:t>ed</w:t>
      </w:r>
      <w:r w:rsidRPr="00F55C95">
        <w:rPr>
          <w:rFonts w:cs="Arial"/>
        </w:rPr>
        <w:t xml:space="preserve"> the Porcine Outbreak Management Program (POMP) as a structured, field-epidemiology surveillance system that standardizes </w:t>
      </w:r>
      <w:r>
        <w:rPr>
          <w:rFonts w:cs="Arial"/>
        </w:rPr>
        <w:t xml:space="preserve">the capture, interpretation, and benchmarking of outbreak data </w:t>
      </w:r>
      <w:r w:rsidRPr="00F55C95">
        <w:rPr>
          <w:rFonts w:cs="Arial"/>
        </w:rPr>
        <w:t>for PRRSV events across U.S. swine producers. POMP applies standardized disease classification consistent with American Association of Swine Veterinarians (AASV) guidelines, ensuring consistent case definitions and comparability across systems. Each enrolled herd contributes information on herd features, diagnostic data, and productivity records collected before, during, and after outbreak events. Diagnostic monitoring is powered by AHMES (Animal Health Monitoring and Evaluation System), which compiles weekly PRRSV RT-qPCR results and ORF5 genomic sequencing data. This integration allows investigators to track longitudinal changes in herd disease status, identify variant lineages, and align those findings with management and recovery strategies</w:t>
      </w:r>
      <w:r w:rsidR="00394D2B">
        <w:rPr>
          <w:rFonts w:cs="Arial"/>
        </w:rPr>
        <w:t>.</w:t>
      </w:r>
      <w:r w:rsidRPr="00F55C95">
        <w:rPr>
          <w:rFonts w:cs="Arial"/>
        </w:rPr>
        <w:t xml:space="preserve"> </w:t>
      </w:r>
    </w:p>
    <w:p w14:paraId="52471400" w14:textId="75037164" w:rsidR="00546D03" w:rsidRDefault="00F55C95" w:rsidP="00F55C95">
      <w:pPr>
        <w:rPr>
          <w:rFonts w:cs="Arial"/>
        </w:rPr>
      </w:pPr>
      <w:r w:rsidRPr="00F55C95">
        <w:rPr>
          <w:rFonts w:cs="Arial"/>
        </w:rPr>
        <w:t xml:space="preserve">Aligned with the meeting’s theme, “Lessons Learned from recent surveillance conducted during outbreaks,” we emphasize how the POMP infrastructure transforms raw outbreak data into actionable intelligence that strengthens national animal-health resilience. Core analytical outputs—such as time-to-stability (TTS), time-to-baseline production (TTBP), and total piglet losses (TPL)—provide objective recovery metrics for benchmarking within and between systems. The program also provides benchmarking comparisons </w:t>
      </w:r>
      <w:proofErr w:type="gramStart"/>
      <w:r w:rsidRPr="00F55C95">
        <w:rPr>
          <w:rFonts w:cs="Arial"/>
        </w:rPr>
        <w:t>within</w:t>
      </w:r>
      <w:proofErr w:type="gramEnd"/>
      <w:r w:rsidRPr="00F55C95">
        <w:rPr>
          <w:rFonts w:cs="Arial"/>
        </w:rPr>
        <w:t xml:space="preserve"> and between producers. These combined surveillance layers—standardized disease classification, continuous molecular and productivity monitoring, and producer-facing analytics—illustrate how structured field epidemiology can enhance early detection, inform intervention effectiveness, and harmonize surveillance data flows across state, industry, and federal partners.</w:t>
      </w:r>
    </w:p>
    <w:p w14:paraId="202DCE86" w14:textId="77777777" w:rsidR="007F4465" w:rsidRPr="00546D03" w:rsidRDefault="007F4465" w:rsidP="00F55C95">
      <w:pPr>
        <w:rPr>
          <w:rFonts w:cs="Arial"/>
        </w:rPr>
      </w:pPr>
    </w:p>
    <w:p w14:paraId="7B8BA73A" w14:textId="77777777" w:rsidR="006658CD" w:rsidRDefault="007F4465" w:rsidP="003C0AD8">
      <w:pPr>
        <w:rPr>
          <w:rFonts w:cs="Arial"/>
        </w:rPr>
      </w:pPr>
      <w:r w:rsidRPr="006658CD">
        <w:rPr>
          <w:rFonts w:cs="Arial"/>
          <w:b/>
          <w:bCs/>
        </w:rPr>
        <w:t xml:space="preserve">USDA Surveillance </w:t>
      </w:r>
      <w:r w:rsidR="006658CD" w:rsidRPr="006658CD">
        <w:rPr>
          <w:rFonts w:cs="Arial"/>
          <w:b/>
          <w:bCs/>
        </w:rPr>
        <w:t>Standards</w:t>
      </w:r>
      <w:r w:rsidRPr="006658CD">
        <w:rPr>
          <w:rFonts w:cs="Arial"/>
          <w:b/>
          <w:bCs/>
        </w:rPr>
        <w:t xml:space="preserve"> Update</w:t>
      </w:r>
    </w:p>
    <w:p w14:paraId="13A75891" w14:textId="0C1228EC" w:rsidR="00C0579C" w:rsidRPr="00C0579C" w:rsidRDefault="007F4465" w:rsidP="00C0579C">
      <w:pPr>
        <w:rPr>
          <w:rFonts w:cs="Arial"/>
          <w:b/>
          <w:bCs/>
        </w:rPr>
      </w:pPr>
      <w:bookmarkStart w:id="3" w:name="_Hlk212976601"/>
      <w:r w:rsidRPr="0067616C">
        <w:rPr>
          <w:rFonts w:cs="Arial"/>
          <w:b/>
          <w:bCs/>
        </w:rPr>
        <w:t>Sunny Geiser-Novotny</w:t>
      </w:r>
      <w:r w:rsidR="006658CD" w:rsidRPr="0067616C">
        <w:rPr>
          <w:rFonts w:cs="Arial"/>
          <w:b/>
          <w:bCs/>
        </w:rPr>
        <w:t>,</w:t>
      </w:r>
      <w:r w:rsidR="00C0579C">
        <w:rPr>
          <w:rFonts w:cs="Arial"/>
          <w:b/>
          <w:bCs/>
        </w:rPr>
        <w:t xml:space="preserve"> </w:t>
      </w:r>
      <w:r w:rsidR="00C0579C" w:rsidRPr="00C0579C">
        <w:rPr>
          <w:rFonts w:cs="Arial"/>
          <w:b/>
          <w:bCs/>
        </w:rPr>
        <w:t>VMD, MS</w:t>
      </w:r>
      <w:r w:rsidR="00C0579C">
        <w:rPr>
          <w:rFonts w:cs="Arial"/>
          <w:b/>
          <w:bCs/>
        </w:rPr>
        <w:t xml:space="preserve">, </w:t>
      </w:r>
      <w:r w:rsidR="00C0579C" w:rsidRPr="00C0579C">
        <w:rPr>
          <w:rFonts w:cs="Arial"/>
          <w:b/>
          <w:bCs/>
        </w:rPr>
        <w:t>Veterinary Medical Officer</w:t>
      </w:r>
      <w:r w:rsidR="00C1509F">
        <w:rPr>
          <w:rFonts w:cs="Arial"/>
          <w:b/>
          <w:bCs/>
        </w:rPr>
        <w:t>,</w:t>
      </w:r>
      <w:r w:rsidR="00C0579C">
        <w:rPr>
          <w:rFonts w:cs="Arial"/>
          <w:b/>
          <w:bCs/>
        </w:rPr>
        <w:t xml:space="preserve"> </w:t>
      </w:r>
      <w:r w:rsidR="00C0579C" w:rsidRPr="00C0579C">
        <w:rPr>
          <w:rFonts w:cs="Arial"/>
          <w:b/>
          <w:bCs/>
        </w:rPr>
        <w:t>USDA APHIS VS Strategy &amp; Policy</w:t>
      </w:r>
      <w:r w:rsidR="00C1509F">
        <w:rPr>
          <w:rFonts w:cs="Arial"/>
          <w:b/>
          <w:bCs/>
        </w:rPr>
        <w:t xml:space="preserve">, </w:t>
      </w:r>
      <w:r w:rsidR="00C0579C" w:rsidRPr="00C0579C">
        <w:rPr>
          <w:rFonts w:cs="Arial"/>
          <w:b/>
          <w:bCs/>
        </w:rPr>
        <w:t>Center for Informatics</w:t>
      </w:r>
      <w:r w:rsidR="00C1509F">
        <w:rPr>
          <w:rFonts w:cs="Arial"/>
          <w:b/>
          <w:bCs/>
        </w:rPr>
        <w:t xml:space="preserve">, </w:t>
      </w:r>
      <w:r w:rsidR="00C0579C" w:rsidRPr="00C0579C">
        <w:rPr>
          <w:rFonts w:cs="Arial"/>
          <w:b/>
          <w:bCs/>
        </w:rPr>
        <w:t>Fort Collins, CO</w:t>
      </w:r>
    </w:p>
    <w:p w14:paraId="16E9051A" w14:textId="77777777" w:rsidR="00C0579C" w:rsidRPr="0067616C" w:rsidRDefault="00C0579C" w:rsidP="003C0AD8">
      <w:pPr>
        <w:rPr>
          <w:rFonts w:cs="Arial"/>
          <w:b/>
          <w:bCs/>
        </w:rPr>
      </w:pPr>
    </w:p>
    <w:bookmarkEnd w:id="3"/>
    <w:p w14:paraId="6A49F4F7" w14:textId="07A09B6E" w:rsidR="004368C6" w:rsidRPr="004368C6" w:rsidRDefault="0067616C" w:rsidP="004368C6">
      <w:pPr>
        <w:rPr>
          <w:rFonts w:cs="Arial"/>
        </w:rPr>
      </w:pPr>
      <w:r>
        <w:rPr>
          <w:rFonts w:cs="Arial"/>
        </w:rPr>
        <w:t>Sunny</w:t>
      </w:r>
      <w:r w:rsidR="004368C6">
        <w:rPr>
          <w:rFonts w:cs="Arial"/>
        </w:rPr>
        <w:t xml:space="preserve"> </w:t>
      </w:r>
      <w:r w:rsidRPr="0067616C">
        <w:rPr>
          <w:rFonts w:cs="Arial"/>
        </w:rPr>
        <w:t>Geiser-Novotny</w:t>
      </w:r>
      <w:r w:rsidR="007667F4">
        <w:rPr>
          <w:rFonts w:cs="Arial"/>
        </w:rPr>
        <w:t xml:space="preserve"> outlined that in FY24,</w:t>
      </w:r>
      <w:r w:rsidR="004368C6" w:rsidRPr="004368C6">
        <w:rPr>
          <w:rFonts w:cs="Arial"/>
        </w:rPr>
        <w:t xml:space="preserve"> APHIS VS awarded a contract to develop a message </w:t>
      </w:r>
      <w:r w:rsidR="005A3974">
        <w:rPr>
          <w:rFonts w:cs="Arial"/>
        </w:rPr>
        <w:t>that provides a comprehensive,</w:t>
      </w:r>
      <w:r w:rsidR="004368C6" w:rsidRPr="004368C6">
        <w:rPr>
          <w:rFonts w:cs="Arial"/>
        </w:rPr>
        <w:t xml:space="preserve"> standardized data format for information collected related to animal health regulatory activities. Building on the success of the previous models of message development, VS </w:t>
      </w:r>
      <w:r w:rsidR="004368C6" w:rsidRPr="004368C6">
        <w:rPr>
          <w:rFonts w:cs="Arial"/>
        </w:rPr>
        <w:lastRenderedPageBreak/>
        <w:t xml:space="preserve">developed an Animal Health Regulatory Message Schema (AHRMS) in collaboration with the USAHA Committee on Animal Health Surveillance and Information Systems (CAHSIS), State Animal Health Officials and software vendors.  The AHRMS and associated guidance document has been completed. Software vendors participated in the development of the schema and are in varying stages of enabling their systems for the publishing of and subscription to receive messages utilizing AHRMS. </w:t>
      </w:r>
    </w:p>
    <w:p w14:paraId="77264A25" w14:textId="32479D98" w:rsidR="006E421E" w:rsidRDefault="004368C6" w:rsidP="004368C6">
      <w:pPr>
        <w:rPr>
          <w:rFonts w:cs="Arial"/>
        </w:rPr>
      </w:pPr>
      <w:r w:rsidRPr="004368C6">
        <w:rPr>
          <w:rFonts w:cs="Arial"/>
        </w:rPr>
        <w:t xml:space="preserve">AHRMS allows testing and vaccination data collected animal side on a mobile device to be messaged near real-time to the systems authorized to receive it – </w:t>
      </w:r>
      <w:proofErr w:type="spellStart"/>
      <w:r w:rsidRPr="004368C6">
        <w:rPr>
          <w:rFonts w:cs="Arial"/>
        </w:rPr>
        <w:t>USAHerds</w:t>
      </w:r>
      <w:proofErr w:type="spellEnd"/>
      <w:r w:rsidRPr="004368C6">
        <w:rPr>
          <w:rFonts w:cs="Arial"/>
        </w:rPr>
        <w:t>/</w:t>
      </w:r>
      <w:proofErr w:type="spellStart"/>
      <w:r w:rsidRPr="004368C6">
        <w:rPr>
          <w:rFonts w:cs="Arial"/>
        </w:rPr>
        <w:t>AgEnterprise</w:t>
      </w:r>
      <w:proofErr w:type="spellEnd"/>
      <w:r w:rsidRPr="004368C6">
        <w:rPr>
          <w:rFonts w:cs="Arial"/>
        </w:rPr>
        <w:t xml:space="preserve">, </w:t>
      </w:r>
      <w:proofErr w:type="spellStart"/>
      <w:r w:rsidRPr="004368C6">
        <w:rPr>
          <w:rFonts w:cs="Arial"/>
        </w:rPr>
        <w:t>CoreOne</w:t>
      </w:r>
      <w:proofErr w:type="spellEnd"/>
      <w:r w:rsidRPr="004368C6">
        <w:rPr>
          <w:rFonts w:cs="Arial"/>
        </w:rPr>
        <w:t>, private State instances, Surveillance Collaboration Services (SCS). This schema addresses the long standing requests for data sharing with data seamlessly integrated into State and Federal databases upon submission without duplicative data entry into multiple systems in order to access the data; and provides near real time availability of data for animal health officials facilitating timely monitoring and analysis of animal health programs to allow for informed decisions, policy changes, response to ad hoc requests, reporting and risk management.</w:t>
      </w:r>
    </w:p>
    <w:p w14:paraId="7D1E6BFA" w14:textId="77777777" w:rsidR="00A5749A" w:rsidRPr="00630F47" w:rsidRDefault="00A5749A" w:rsidP="004368C6">
      <w:pPr>
        <w:rPr>
          <w:rFonts w:cs="Arial"/>
        </w:rPr>
      </w:pPr>
    </w:p>
    <w:p w14:paraId="3488C6B0" w14:textId="57FE36F3" w:rsidR="00E15E97" w:rsidRPr="00630F47" w:rsidRDefault="00831225" w:rsidP="00E15E97">
      <w:pPr>
        <w:rPr>
          <w:rFonts w:cs="Arial"/>
          <w:iCs/>
        </w:rPr>
      </w:pPr>
      <w:r w:rsidRPr="00630F47">
        <w:rPr>
          <w:rFonts w:cs="Arial"/>
          <w:b/>
        </w:rPr>
        <w:t>Committee Business:</w:t>
      </w:r>
      <w:bookmarkEnd w:id="0"/>
    </w:p>
    <w:p w14:paraId="001BAF09" w14:textId="1608EB5E" w:rsidR="00177241" w:rsidRDefault="00177241" w:rsidP="00BF6F7A">
      <w:pPr>
        <w:rPr>
          <w:rFonts w:cs="Arial"/>
          <w:iCs/>
          <w:highlight w:val="yellow"/>
        </w:rPr>
      </w:pPr>
    </w:p>
    <w:p w14:paraId="7DF48F01" w14:textId="6D9FBFEB" w:rsidR="00642985" w:rsidRDefault="00642985">
      <w:pPr>
        <w:rPr>
          <w:rFonts w:cs="Arial"/>
          <w:bCs/>
        </w:rPr>
      </w:pPr>
      <w:r>
        <w:rPr>
          <w:rFonts w:cs="Arial"/>
          <w:bCs/>
        </w:rPr>
        <w:t xml:space="preserve">Reports from the </w:t>
      </w:r>
      <w:proofErr w:type="spellStart"/>
      <w:r>
        <w:rPr>
          <w:rFonts w:cs="Arial"/>
          <w:bCs/>
        </w:rPr>
        <w:t>eCVI</w:t>
      </w:r>
      <w:proofErr w:type="spellEnd"/>
      <w:r>
        <w:rPr>
          <w:rFonts w:cs="Arial"/>
          <w:bCs/>
        </w:rPr>
        <w:t xml:space="preserve"> and permitting subcommittees were not delivered at the meeting due to the absence of Dr. Ryan Scholz who had been scheduled to deliver those reports.  </w:t>
      </w:r>
    </w:p>
    <w:p w14:paraId="075B1376" w14:textId="77777777" w:rsidR="00642985" w:rsidRDefault="00642985">
      <w:pPr>
        <w:rPr>
          <w:rFonts w:cs="Arial"/>
          <w:bCs/>
        </w:rPr>
      </w:pPr>
    </w:p>
    <w:p w14:paraId="3736C5F6" w14:textId="02CBED49" w:rsidR="00831225" w:rsidRPr="00642985" w:rsidRDefault="00BF6F7A">
      <w:pPr>
        <w:rPr>
          <w:rFonts w:cs="Arial"/>
          <w:iCs/>
        </w:rPr>
      </w:pPr>
      <w:r w:rsidRPr="00642985">
        <w:rPr>
          <w:rFonts w:cs="Arial"/>
          <w:bCs/>
        </w:rPr>
        <w:t>There w</w:t>
      </w:r>
      <w:r w:rsidR="00546D03" w:rsidRPr="00642985">
        <w:rPr>
          <w:rFonts w:cs="Arial"/>
          <w:bCs/>
        </w:rPr>
        <w:t>ere</w:t>
      </w:r>
      <w:r w:rsidRPr="00642985">
        <w:rPr>
          <w:rFonts w:cs="Arial"/>
          <w:bCs/>
        </w:rPr>
        <w:t xml:space="preserve"> no </w:t>
      </w:r>
      <w:r w:rsidR="00177241" w:rsidRPr="00642985">
        <w:rPr>
          <w:rFonts w:cs="Arial"/>
          <w:bCs/>
        </w:rPr>
        <w:t>resolutions introduced during the 2024 meeting</w:t>
      </w:r>
      <w:r w:rsidR="00E976C3" w:rsidRPr="00642985">
        <w:rPr>
          <w:rFonts w:cs="Arial"/>
          <w:bCs/>
        </w:rPr>
        <w:t xml:space="preserve">. </w:t>
      </w:r>
      <w:r w:rsidR="00642985">
        <w:rPr>
          <w:rFonts w:cs="Arial"/>
          <w:bCs/>
        </w:rPr>
        <w:t xml:space="preserve">One resolution </w:t>
      </w:r>
      <w:r w:rsidR="001B464A">
        <w:rPr>
          <w:rFonts w:cs="Arial"/>
          <w:bCs/>
        </w:rPr>
        <w:t xml:space="preserve">for 2025 </w:t>
      </w:r>
      <w:r w:rsidR="00642985">
        <w:rPr>
          <w:rFonts w:cs="Arial"/>
          <w:bCs/>
        </w:rPr>
        <w:t xml:space="preserve">was discussed titled “Transition to electronic interstate certificates of veterinary inspection.”   Discussion included one submitted amendment </w:t>
      </w:r>
      <w:r w:rsidR="001B660A">
        <w:rPr>
          <w:rFonts w:cs="Arial"/>
          <w:bCs/>
        </w:rPr>
        <w:t>by Dr. Scott Leibsle</w:t>
      </w:r>
      <w:r w:rsidR="00BD6EA7">
        <w:rPr>
          <w:rFonts w:cs="Arial"/>
          <w:bCs/>
        </w:rPr>
        <w:t xml:space="preserve">, </w:t>
      </w:r>
      <w:r w:rsidR="00A0596D">
        <w:rPr>
          <w:rFonts w:cs="Arial"/>
          <w:bCs/>
        </w:rPr>
        <w:t xml:space="preserve">Idaho State </w:t>
      </w:r>
      <w:proofErr w:type="gramStart"/>
      <w:r w:rsidR="00A0596D">
        <w:rPr>
          <w:rFonts w:cs="Arial"/>
          <w:bCs/>
        </w:rPr>
        <w:t>Veterinarian</w:t>
      </w:r>
      <w:proofErr w:type="gramEnd"/>
      <w:r w:rsidR="001A216C">
        <w:rPr>
          <w:rFonts w:cs="Arial"/>
          <w:bCs/>
        </w:rPr>
        <w:t xml:space="preserve"> </w:t>
      </w:r>
      <w:r w:rsidR="00642985">
        <w:rPr>
          <w:rFonts w:cs="Arial"/>
          <w:bCs/>
        </w:rPr>
        <w:t>and two amendments proposed in the meeting</w:t>
      </w:r>
      <w:r w:rsidR="001A216C">
        <w:rPr>
          <w:rFonts w:cs="Arial"/>
          <w:bCs/>
        </w:rPr>
        <w:t xml:space="preserve"> by Dr. Sarah Tomlinson.</w:t>
      </w:r>
      <w:r w:rsidR="00642985">
        <w:rPr>
          <w:rFonts w:cs="Arial"/>
          <w:bCs/>
        </w:rPr>
        <w:t xml:space="preserve">  A unanimous vote to accept the resolution by the committee was taken.  </w:t>
      </w:r>
    </w:p>
    <w:sectPr w:rsidR="00831225" w:rsidRPr="00642985" w:rsidSect="00D97228">
      <w:pgSz w:w="12240" w:h="15840"/>
      <w:pgMar w:top="1296" w:right="1440" w:bottom="129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85A05"/>
    <w:multiLevelType w:val="hybridMultilevel"/>
    <w:tmpl w:val="EDA67B34"/>
    <w:lvl w:ilvl="0" w:tplc="DEA04FA6">
      <w:start w:val="1"/>
      <w:numFmt w:val="bullet"/>
      <w:pStyle w:val="ProcBullets"/>
      <w:lvlText w:val=""/>
      <w:lvlJc w:val="left"/>
      <w:pPr>
        <w:ind w:left="420" w:hanging="360"/>
      </w:pPr>
      <w:rPr>
        <w:rFonts w:ascii="Symbol" w:hAnsi="Symbol" w:hint="default"/>
      </w:rPr>
    </w:lvl>
    <w:lvl w:ilvl="1" w:tplc="04090003" w:tentative="1">
      <w:start w:val="1"/>
      <w:numFmt w:val="bullet"/>
      <w:lvlText w:val="o"/>
      <w:lvlJc w:val="left"/>
      <w:pPr>
        <w:ind w:left="1140" w:hanging="360"/>
      </w:pPr>
      <w:rPr>
        <w:rFonts w:ascii="Courier New" w:hAnsi="Courier New" w:cs="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cs="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cs="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1" w15:restartNumberingAfterBreak="0">
    <w:nsid w:val="066044E2"/>
    <w:multiLevelType w:val="hybridMultilevel"/>
    <w:tmpl w:val="841CC110"/>
    <w:lvl w:ilvl="0" w:tplc="14705514">
      <w:start w:val="1"/>
      <w:numFmt w:val="decimal"/>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2" w15:restartNumberingAfterBreak="0">
    <w:nsid w:val="2D1F420E"/>
    <w:multiLevelType w:val="hybridMultilevel"/>
    <w:tmpl w:val="CD4457DA"/>
    <w:lvl w:ilvl="0" w:tplc="A9B646A6">
      <w:start w:val="1"/>
      <w:numFmt w:val="bullet"/>
      <w:lvlText w:val="•"/>
      <w:lvlJc w:val="left"/>
      <w:pPr>
        <w:tabs>
          <w:tab w:val="num" w:pos="720"/>
        </w:tabs>
        <w:ind w:left="720" w:hanging="360"/>
      </w:pPr>
      <w:rPr>
        <w:rFonts w:ascii="Arial" w:hAnsi="Arial" w:hint="default"/>
      </w:rPr>
    </w:lvl>
    <w:lvl w:ilvl="1" w:tplc="B3FE9F78">
      <w:numFmt w:val="bullet"/>
      <w:lvlText w:val="⁻"/>
      <w:lvlJc w:val="left"/>
      <w:pPr>
        <w:tabs>
          <w:tab w:val="num" w:pos="1440"/>
        </w:tabs>
        <w:ind w:left="1440" w:hanging="360"/>
      </w:pPr>
      <w:rPr>
        <w:rFonts w:ascii="Calibri" w:hAnsi="Calibri" w:hint="default"/>
      </w:rPr>
    </w:lvl>
    <w:lvl w:ilvl="2" w:tplc="3FC4C81A" w:tentative="1">
      <w:start w:val="1"/>
      <w:numFmt w:val="bullet"/>
      <w:lvlText w:val="•"/>
      <w:lvlJc w:val="left"/>
      <w:pPr>
        <w:tabs>
          <w:tab w:val="num" w:pos="2160"/>
        </w:tabs>
        <w:ind w:left="2160" w:hanging="360"/>
      </w:pPr>
      <w:rPr>
        <w:rFonts w:ascii="Arial" w:hAnsi="Arial" w:hint="default"/>
      </w:rPr>
    </w:lvl>
    <w:lvl w:ilvl="3" w:tplc="482AF158" w:tentative="1">
      <w:start w:val="1"/>
      <w:numFmt w:val="bullet"/>
      <w:lvlText w:val="•"/>
      <w:lvlJc w:val="left"/>
      <w:pPr>
        <w:tabs>
          <w:tab w:val="num" w:pos="2880"/>
        </w:tabs>
        <w:ind w:left="2880" w:hanging="360"/>
      </w:pPr>
      <w:rPr>
        <w:rFonts w:ascii="Arial" w:hAnsi="Arial" w:hint="default"/>
      </w:rPr>
    </w:lvl>
    <w:lvl w:ilvl="4" w:tplc="3DB6F100" w:tentative="1">
      <w:start w:val="1"/>
      <w:numFmt w:val="bullet"/>
      <w:lvlText w:val="•"/>
      <w:lvlJc w:val="left"/>
      <w:pPr>
        <w:tabs>
          <w:tab w:val="num" w:pos="3600"/>
        </w:tabs>
        <w:ind w:left="3600" w:hanging="360"/>
      </w:pPr>
      <w:rPr>
        <w:rFonts w:ascii="Arial" w:hAnsi="Arial" w:hint="default"/>
      </w:rPr>
    </w:lvl>
    <w:lvl w:ilvl="5" w:tplc="22EE51C6" w:tentative="1">
      <w:start w:val="1"/>
      <w:numFmt w:val="bullet"/>
      <w:lvlText w:val="•"/>
      <w:lvlJc w:val="left"/>
      <w:pPr>
        <w:tabs>
          <w:tab w:val="num" w:pos="4320"/>
        </w:tabs>
        <w:ind w:left="4320" w:hanging="360"/>
      </w:pPr>
      <w:rPr>
        <w:rFonts w:ascii="Arial" w:hAnsi="Arial" w:hint="default"/>
      </w:rPr>
    </w:lvl>
    <w:lvl w:ilvl="6" w:tplc="817CF85E" w:tentative="1">
      <w:start w:val="1"/>
      <w:numFmt w:val="bullet"/>
      <w:lvlText w:val="•"/>
      <w:lvlJc w:val="left"/>
      <w:pPr>
        <w:tabs>
          <w:tab w:val="num" w:pos="5040"/>
        </w:tabs>
        <w:ind w:left="5040" w:hanging="360"/>
      </w:pPr>
      <w:rPr>
        <w:rFonts w:ascii="Arial" w:hAnsi="Arial" w:hint="default"/>
      </w:rPr>
    </w:lvl>
    <w:lvl w:ilvl="7" w:tplc="D3E8E124" w:tentative="1">
      <w:start w:val="1"/>
      <w:numFmt w:val="bullet"/>
      <w:lvlText w:val="•"/>
      <w:lvlJc w:val="left"/>
      <w:pPr>
        <w:tabs>
          <w:tab w:val="num" w:pos="5760"/>
        </w:tabs>
        <w:ind w:left="5760" w:hanging="360"/>
      </w:pPr>
      <w:rPr>
        <w:rFonts w:ascii="Arial" w:hAnsi="Arial" w:hint="default"/>
      </w:rPr>
    </w:lvl>
    <w:lvl w:ilvl="8" w:tplc="AEC07092"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E565D27"/>
    <w:multiLevelType w:val="hybridMultilevel"/>
    <w:tmpl w:val="DE68CAB6"/>
    <w:lvl w:ilvl="0" w:tplc="41DA95B2">
      <w:start w:val="1"/>
      <w:numFmt w:val="bullet"/>
      <w:lvlText w:val="•"/>
      <w:lvlJc w:val="left"/>
      <w:pPr>
        <w:tabs>
          <w:tab w:val="num" w:pos="720"/>
        </w:tabs>
        <w:ind w:left="720" w:hanging="360"/>
      </w:pPr>
      <w:rPr>
        <w:rFonts w:ascii="Arial" w:hAnsi="Arial" w:hint="default"/>
      </w:rPr>
    </w:lvl>
    <w:lvl w:ilvl="1" w:tplc="7464BDDC" w:tentative="1">
      <w:start w:val="1"/>
      <w:numFmt w:val="bullet"/>
      <w:lvlText w:val="•"/>
      <w:lvlJc w:val="left"/>
      <w:pPr>
        <w:tabs>
          <w:tab w:val="num" w:pos="1440"/>
        </w:tabs>
        <w:ind w:left="1440" w:hanging="360"/>
      </w:pPr>
      <w:rPr>
        <w:rFonts w:ascii="Arial" w:hAnsi="Arial" w:hint="default"/>
      </w:rPr>
    </w:lvl>
    <w:lvl w:ilvl="2" w:tplc="2A765982" w:tentative="1">
      <w:start w:val="1"/>
      <w:numFmt w:val="bullet"/>
      <w:lvlText w:val="•"/>
      <w:lvlJc w:val="left"/>
      <w:pPr>
        <w:tabs>
          <w:tab w:val="num" w:pos="2160"/>
        </w:tabs>
        <w:ind w:left="2160" w:hanging="360"/>
      </w:pPr>
      <w:rPr>
        <w:rFonts w:ascii="Arial" w:hAnsi="Arial" w:hint="default"/>
      </w:rPr>
    </w:lvl>
    <w:lvl w:ilvl="3" w:tplc="6D9445DC" w:tentative="1">
      <w:start w:val="1"/>
      <w:numFmt w:val="bullet"/>
      <w:lvlText w:val="•"/>
      <w:lvlJc w:val="left"/>
      <w:pPr>
        <w:tabs>
          <w:tab w:val="num" w:pos="2880"/>
        </w:tabs>
        <w:ind w:left="2880" w:hanging="360"/>
      </w:pPr>
      <w:rPr>
        <w:rFonts w:ascii="Arial" w:hAnsi="Arial" w:hint="default"/>
      </w:rPr>
    </w:lvl>
    <w:lvl w:ilvl="4" w:tplc="62D4CB70" w:tentative="1">
      <w:start w:val="1"/>
      <w:numFmt w:val="bullet"/>
      <w:lvlText w:val="•"/>
      <w:lvlJc w:val="left"/>
      <w:pPr>
        <w:tabs>
          <w:tab w:val="num" w:pos="3600"/>
        </w:tabs>
        <w:ind w:left="3600" w:hanging="360"/>
      </w:pPr>
      <w:rPr>
        <w:rFonts w:ascii="Arial" w:hAnsi="Arial" w:hint="default"/>
      </w:rPr>
    </w:lvl>
    <w:lvl w:ilvl="5" w:tplc="165882C8" w:tentative="1">
      <w:start w:val="1"/>
      <w:numFmt w:val="bullet"/>
      <w:lvlText w:val="•"/>
      <w:lvlJc w:val="left"/>
      <w:pPr>
        <w:tabs>
          <w:tab w:val="num" w:pos="4320"/>
        </w:tabs>
        <w:ind w:left="4320" w:hanging="360"/>
      </w:pPr>
      <w:rPr>
        <w:rFonts w:ascii="Arial" w:hAnsi="Arial" w:hint="default"/>
      </w:rPr>
    </w:lvl>
    <w:lvl w:ilvl="6" w:tplc="904413BE" w:tentative="1">
      <w:start w:val="1"/>
      <w:numFmt w:val="bullet"/>
      <w:lvlText w:val="•"/>
      <w:lvlJc w:val="left"/>
      <w:pPr>
        <w:tabs>
          <w:tab w:val="num" w:pos="5040"/>
        </w:tabs>
        <w:ind w:left="5040" w:hanging="360"/>
      </w:pPr>
      <w:rPr>
        <w:rFonts w:ascii="Arial" w:hAnsi="Arial" w:hint="default"/>
      </w:rPr>
    </w:lvl>
    <w:lvl w:ilvl="7" w:tplc="C90C5FD6" w:tentative="1">
      <w:start w:val="1"/>
      <w:numFmt w:val="bullet"/>
      <w:lvlText w:val="•"/>
      <w:lvlJc w:val="left"/>
      <w:pPr>
        <w:tabs>
          <w:tab w:val="num" w:pos="5760"/>
        </w:tabs>
        <w:ind w:left="5760" w:hanging="360"/>
      </w:pPr>
      <w:rPr>
        <w:rFonts w:ascii="Arial" w:hAnsi="Arial" w:hint="default"/>
      </w:rPr>
    </w:lvl>
    <w:lvl w:ilvl="8" w:tplc="0B146128"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657A4681"/>
    <w:multiLevelType w:val="hybridMultilevel"/>
    <w:tmpl w:val="16FE8882"/>
    <w:lvl w:ilvl="0" w:tplc="57E8F91A">
      <w:start w:val="1"/>
      <w:numFmt w:val="bullet"/>
      <w:lvlText w:val="•"/>
      <w:lvlJc w:val="left"/>
      <w:pPr>
        <w:tabs>
          <w:tab w:val="num" w:pos="720"/>
        </w:tabs>
        <w:ind w:left="720" w:hanging="360"/>
      </w:pPr>
      <w:rPr>
        <w:rFonts w:ascii="Arial" w:hAnsi="Arial" w:hint="default"/>
      </w:rPr>
    </w:lvl>
    <w:lvl w:ilvl="1" w:tplc="F2228A06" w:tentative="1">
      <w:start w:val="1"/>
      <w:numFmt w:val="bullet"/>
      <w:lvlText w:val="•"/>
      <w:lvlJc w:val="left"/>
      <w:pPr>
        <w:tabs>
          <w:tab w:val="num" w:pos="1440"/>
        </w:tabs>
        <w:ind w:left="1440" w:hanging="360"/>
      </w:pPr>
      <w:rPr>
        <w:rFonts w:ascii="Arial" w:hAnsi="Arial" w:hint="default"/>
      </w:rPr>
    </w:lvl>
    <w:lvl w:ilvl="2" w:tplc="9DD0D1FE" w:tentative="1">
      <w:start w:val="1"/>
      <w:numFmt w:val="bullet"/>
      <w:lvlText w:val="•"/>
      <w:lvlJc w:val="left"/>
      <w:pPr>
        <w:tabs>
          <w:tab w:val="num" w:pos="2160"/>
        </w:tabs>
        <w:ind w:left="2160" w:hanging="360"/>
      </w:pPr>
      <w:rPr>
        <w:rFonts w:ascii="Arial" w:hAnsi="Arial" w:hint="default"/>
      </w:rPr>
    </w:lvl>
    <w:lvl w:ilvl="3" w:tplc="98743F7A" w:tentative="1">
      <w:start w:val="1"/>
      <w:numFmt w:val="bullet"/>
      <w:lvlText w:val="•"/>
      <w:lvlJc w:val="left"/>
      <w:pPr>
        <w:tabs>
          <w:tab w:val="num" w:pos="2880"/>
        </w:tabs>
        <w:ind w:left="2880" w:hanging="360"/>
      </w:pPr>
      <w:rPr>
        <w:rFonts w:ascii="Arial" w:hAnsi="Arial" w:hint="default"/>
      </w:rPr>
    </w:lvl>
    <w:lvl w:ilvl="4" w:tplc="82A69E94" w:tentative="1">
      <w:start w:val="1"/>
      <w:numFmt w:val="bullet"/>
      <w:lvlText w:val="•"/>
      <w:lvlJc w:val="left"/>
      <w:pPr>
        <w:tabs>
          <w:tab w:val="num" w:pos="3600"/>
        </w:tabs>
        <w:ind w:left="3600" w:hanging="360"/>
      </w:pPr>
      <w:rPr>
        <w:rFonts w:ascii="Arial" w:hAnsi="Arial" w:hint="default"/>
      </w:rPr>
    </w:lvl>
    <w:lvl w:ilvl="5" w:tplc="25A23044" w:tentative="1">
      <w:start w:val="1"/>
      <w:numFmt w:val="bullet"/>
      <w:lvlText w:val="•"/>
      <w:lvlJc w:val="left"/>
      <w:pPr>
        <w:tabs>
          <w:tab w:val="num" w:pos="4320"/>
        </w:tabs>
        <w:ind w:left="4320" w:hanging="360"/>
      </w:pPr>
      <w:rPr>
        <w:rFonts w:ascii="Arial" w:hAnsi="Arial" w:hint="default"/>
      </w:rPr>
    </w:lvl>
    <w:lvl w:ilvl="6" w:tplc="F0208B7A" w:tentative="1">
      <w:start w:val="1"/>
      <w:numFmt w:val="bullet"/>
      <w:lvlText w:val="•"/>
      <w:lvlJc w:val="left"/>
      <w:pPr>
        <w:tabs>
          <w:tab w:val="num" w:pos="5040"/>
        </w:tabs>
        <w:ind w:left="5040" w:hanging="360"/>
      </w:pPr>
      <w:rPr>
        <w:rFonts w:ascii="Arial" w:hAnsi="Arial" w:hint="default"/>
      </w:rPr>
    </w:lvl>
    <w:lvl w:ilvl="7" w:tplc="551C720E" w:tentative="1">
      <w:start w:val="1"/>
      <w:numFmt w:val="bullet"/>
      <w:lvlText w:val="•"/>
      <w:lvlJc w:val="left"/>
      <w:pPr>
        <w:tabs>
          <w:tab w:val="num" w:pos="5760"/>
        </w:tabs>
        <w:ind w:left="5760" w:hanging="360"/>
      </w:pPr>
      <w:rPr>
        <w:rFonts w:ascii="Arial" w:hAnsi="Arial" w:hint="default"/>
      </w:rPr>
    </w:lvl>
    <w:lvl w:ilvl="8" w:tplc="0F6AB9D4"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77C51B77"/>
    <w:multiLevelType w:val="hybridMultilevel"/>
    <w:tmpl w:val="9CACDBCC"/>
    <w:lvl w:ilvl="0" w:tplc="C85A97A8">
      <w:start w:val="1"/>
      <w:numFmt w:val="bullet"/>
      <w:lvlText w:val="•"/>
      <w:lvlJc w:val="left"/>
      <w:pPr>
        <w:tabs>
          <w:tab w:val="num" w:pos="720"/>
        </w:tabs>
        <w:ind w:left="720" w:hanging="360"/>
      </w:pPr>
      <w:rPr>
        <w:rFonts w:ascii="Arial" w:hAnsi="Arial" w:hint="default"/>
      </w:rPr>
    </w:lvl>
    <w:lvl w:ilvl="1" w:tplc="94CE4512" w:tentative="1">
      <w:start w:val="1"/>
      <w:numFmt w:val="bullet"/>
      <w:lvlText w:val="•"/>
      <w:lvlJc w:val="left"/>
      <w:pPr>
        <w:tabs>
          <w:tab w:val="num" w:pos="1440"/>
        </w:tabs>
        <w:ind w:left="1440" w:hanging="360"/>
      </w:pPr>
      <w:rPr>
        <w:rFonts w:ascii="Arial" w:hAnsi="Arial" w:hint="default"/>
      </w:rPr>
    </w:lvl>
    <w:lvl w:ilvl="2" w:tplc="3BDE1974" w:tentative="1">
      <w:start w:val="1"/>
      <w:numFmt w:val="bullet"/>
      <w:lvlText w:val="•"/>
      <w:lvlJc w:val="left"/>
      <w:pPr>
        <w:tabs>
          <w:tab w:val="num" w:pos="2160"/>
        </w:tabs>
        <w:ind w:left="2160" w:hanging="360"/>
      </w:pPr>
      <w:rPr>
        <w:rFonts w:ascii="Arial" w:hAnsi="Arial" w:hint="default"/>
      </w:rPr>
    </w:lvl>
    <w:lvl w:ilvl="3" w:tplc="F2765F10" w:tentative="1">
      <w:start w:val="1"/>
      <w:numFmt w:val="bullet"/>
      <w:lvlText w:val="•"/>
      <w:lvlJc w:val="left"/>
      <w:pPr>
        <w:tabs>
          <w:tab w:val="num" w:pos="2880"/>
        </w:tabs>
        <w:ind w:left="2880" w:hanging="360"/>
      </w:pPr>
      <w:rPr>
        <w:rFonts w:ascii="Arial" w:hAnsi="Arial" w:hint="default"/>
      </w:rPr>
    </w:lvl>
    <w:lvl w:ilvl="4" w:tplc="3FBC9B1A" w:tentative="1">
      <w:start w:val="1"/>
      <w:numFmt w:val="bullet"/>
      <w:lvlText w:val="•"/>
      <w:lvlJc w:val="left"/>
      <w:pPr>
        <w:tabs>
          <w:tab w:val="num" w:pos="3600"/>
        </w:tabs>
        <w:ind w:left="3600" w:hanging="360"/>
      </w:pPr>
      <w:rPr>
        <w:rFonts w:ascii="Arial" w:hAnsi="Arial" w:hint="default"/>
      </w:rPr>
    </w:lvl>
    <w:lvl w:ilvl="5" w:tplc="A6463932" w:tentative="1">
      <w:start w:val="1"/>
      <w:numFmt w:val="bullet"/>
      <w:lvlText w:val="•"/>
      <w:lvlJc w:val="left"/>
      <w:pPr>
        <w:tabs>
          <w:tab w:val="num" w:pos="4320"/>
        </w:tabs>
        <w:ind w:left="4320" w:hanging="360"/>
      </w:pPr>
      <w:rPr>
        <w:rFonts w:ascii="Arial" w:hAnsi="Arial" w:hint="default"/>
      </w:rPr>
    </w:lvl>
    <w:lvl w:ilvl="6" w:tplc="AC801ACE" w:tentative="1">
      <w:start w:val="1"/>
      <w:numFmt w:val="bullet"/>
      <w:lvlText w:val="•"/>
      <w:lvlJc w:val="left"/>
      <w:pPr>
        <w:tabs>
          <w:tab w:val="num" w:pos="5040"/>
        </w:tabs>
        <w:ind w:left="5040" w:hanging="360"/>
      </w:pPr>
      <w:rPr>
        <w:rFonts w:ascii="Arial" w:hAnsi="Arial" w:hint="default"/>
      </w:rPr>
    </w:lvl>
    <w:lvl w:ilvl="7" w:tplc="CB0AEAEC" w:tentative="1">
      <w:start w:val="1"/>
      <w:numFmt w:val="bullet"/>
      <w:lvlText w:val="•"/>
      <w:lvlJc w:val="left"/>
      <w:pPr>
        <w:tabs>
          <w:tab w:val="num" w:pos="5760"/>
        </w:tabs>
        <w:ind w:left="5760" w:hanging="360"/>
      </w:pPr>
      <w:rPr>
        <w:rFonts w:ascii="Arial" w:hAnsi="Arial" w:hint="default"/>
      </w:rPr>
    </w:lvl>
    <w:lvl w:ilvl="8" w:tplc="187A6B7E" w:tentative="1">
      <w:start w:val="1"/>
      <w:numFmt w:val="bullet"/>
      <w:lvlText w:val="•"/>
      <w:lvlJc w:val="left"/>
      <w:pPr>
        <w:tabs>
          <w:tab w:val="num" w:pos="6480"/>
        </w:tabs>
        <w:ind w:left="6480" w:hanging="360"/>
      </w:pPr>
      <w:rPr>
        <w:rFonts w:ascii="Arial" w:hAnsi="Arial" w:hint="default"/>
      </w:rPr>
    </w:lvl>
  </w:abstractNum>
  <w:num w:numId="1" w16cid:durableId="555746801">
    <w:abstractNumId w:val="1"/>
  </w:num>
  <w:num w:numId="2" w16cid:durableId="458573671">
    <w:abstractNumId w:val="0"/>
  </w:num>
  <w:num w:numId="3" w16cid:durableId="1819105132">
    <w:abstractNumId w:val="1"/>
  </w:num>
  <w:num w:numId="4" w16cid:durableId="570844834">
    <w:abstractNumId w:val="0"/>
  </w:num>
  <w:num w:numId="5" w16cid:durableId="1524392921">
    <w:abstractNumId w:val="1"/>
  </w:num>
  <w:num w:numId="6" w16cid:durableId="1392000879">
    <w:abstractNumId w:val="0"/>
  </w:num>
  <w:num w:numId="7" w16cid:durableId="492719488">
    <w:abstractNumId w:val="0"/>
  </w:num>
  <w:num w:numId="8" w16cid:durableId="1552038559">
    <w:abstractNumId w:val="3"/>
  </w:num>
  <w:num w:numId="9" w16cid:durableId="422579008">
    <w:abstractNumId w:val="5"/>
  </w:num>
  <w:num w:numId="10" w16cid:durableId="1219979553">
    <w:abstractNumId w:val="4"/>
  </w:num>
  <w:num w:numId="11" w16cid:durableId="11456789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LQ0MzYzNzE1MjE0tzRS0lEKTi0uzszPAykwrAUAy/8UeSwAAAA="/>
  </w:docVars>
  <w:rsids>
    <w:rsidRoot w:val="00831225"/>
    <w:rsid w:val="00001499"/>
    <w:rsid w:val="000031CF"/>
    <w:rsid w:val="00022A52"/>
    <w:rsid w:val="0002336D"/>
    <w:rsid w:val="00035B6C"/>
    <w:rsid w:val="000362E2"/>
    <w:rsid w:val="000363E2"/>
    <w:rsid w:val="00040A15"/>
    <w:rsid w:val="000425B3"/>
    <w:rsid w:val="000473F3"/>
    <w:rsid w:val="00053993"/>
    <w:rsid w:val="000655D8"/>
    <w:rsid w:val="000675FD"/>
    <w:rsid w:val="00070589"/>
    <w:rsid w:val="000731FA"/>
    <w:rsid w:val="0008268A"/>
    <w:rsid w:val="00083A54"/>
    <w:rsid w:val="00096AEB"/>
    <w:rsid w:val="000A13A0"/>
    <w:rsid w:val="000A16CD"/>
    <w:rsid w:val="000A1AE0"/>
    <w:rsid w:val="000A2B38"/>
    <w:rsid w:val="000A49A4"/>
    <w:rsid w:val="000A634D"/>
    <w:rsid w:val="000B1BA5"/>
    <w:rsid w:val="000B6A6E"/>
    <w:rsid w:val="000C0B96"/>
    <w:rsid w:val="000C206C"/>
    <w:rsid w:val="000C29A6"/>
    <w:rsid w:val="000C5EE1"/>
    <w:rsid w:val="000D04BA"/>
    <w:rsid w:val="000D180E"/>
    <w:rsid w:val="000D64BE"/>
    <w:rsid w:val="000E170D"/>
    <w:rsid w:val="000F08E8"/>
    <w:rsid w:val="000F66E8"/>
    <w:rsid w:val="001006D0"/>
    <w:rsid w:val="00101A10"/>
    <w:rsid w:val="00103C6E"/>
    <w:rsid w:val="0011072D"/>
    <w:rsid w:val="00113FC2"/>
    <w:rsid w:val="00115007"/>
    <w:rsid w:val="001159A4"/>
    <w:rsid w:val="001274B1"/>
    <w:rsid w:val="001379CF"/>
    <w:rsid w:val="001403C7"/>
    <w:rsid w:val="001509BE"/>
    <w:rsid w:val="00155FAA"/>
    <w:rsid w:val="001562D6"/>
    <w:rsid w:val="00161030"/>
    <w:rsid w:val="0016219B"/>
    <w:rsid w:val="001625E5"/>
    <w:rsid w:val="00166E61"/>
    <w:rsid w:val="00170864"/>
    <w:rsid w:val="0017188C"/>
    <w:rsid w:val="00172347"/>
    <w:rsid w:val="00172FA9"/>
    <w:rsid w:val="00176E5B"/>
    <w:rsid w:val="00177241"/>
    <w:rsid w:val="001845CB"/>
    <w:rsid w:val="00187963"/>
    <w:rsid w:val="00195BB8"/>
    <w:rsid w:val="001A076F"/>
    <w:rsid w:val="001A16D5"/>
    <w:rsid w:val="001A216C"/>
    <w:rsid w:val="001A2189"/>
    <w:rsid w:val="001A298D"/>
    <w:rsid w:val="001B464A"/>
    <w:rsid w:val="001B5CAE"/>
    <w:rsid w:val="001B660A"/>
    <w:rsid w:val="001B6F13"/>
    <w:rsid w:val="001C5110"/>
    <w:rsid w:val="001D6588"/>
    <w:rsid w:val="001E09A3"/>
    <w:rsid w:val="001E2F07"/>
    <w:rsid w:val="001E6A7A"/>
    <w:rsid w:val="001E6E59"/>
    <w:rsid w:val="001E7835"/>
    <w:rsid w:val="001F0D3F"/>
    <w:rsid w:val="001F4AC4"/>
    <w:rsid w:val="001F74BD"/>
    <w:rsid w:val="00203AA8"/>
    <w:rsid w:val="00210E78"/>
    <w:rsid w:val="0021567E"/>
    <w:rsid w:val="00215786"/>
    <w:rsid w:val="00216393"/>
    <w:rsid w:val="002275D3"/>
    <w:rsid w:val="0023649A"/>
    <w:rsid w:val="00237628"/>
    <w:rsid w:val="00237DF9"/>
    <w:rsid w:val="00252930"/>
    <w:rsid w:val="002647E3"/>
    <w:rsid w:val="00272EB4"/>
    <w:rsid w:val="002806B3"/>
    <w:rsid w:val="00283E80"/>
    <w:rsid w:val="00286019"/>
    <w:rsid w:val="00286866"/>
    <w:rsid w:val="00291A2A"/>
    <w:rsid w:val="00293437"/>
    <w:rsid w:val="002936C0"/>
    <w:rsid w:val="002938FC"/>
    <w:rsid w:val="002A22A3"/>
    <w:rsid w:val="002B0853"/>
    <w:rsid w:val="002B29CB"/>
    <w:rsid w:val="002B4630"/>
    <w:rsid w:val="002C2087"/>
    <w:rsid w:val="002D1640"/>
    <w:rsid w:val="002D21A6"/>
    <w:rsid w:val="002D7BFE"/>
    <w:rsid w:val="002E2811"/>
    <w:rsid w:val="0030520A"/>
    <w:rsid w:val="003055D8"/>
    <w:rsid w:val="00312B6A"/>
    <w:rsid w:val="003165FB"/>
    <w:rsid w:val="00317B23"/>
    <w:rsid w:val="00343B75"/>
    <w:rsid w:val="00346669"/>
    <w:rsid w:val="00351224"/>
    <w:rsid w:val="00351CDC"/>
    <w:rsid w:val="00355228"/>
    <w:rsid w:val="00360245"/>
    <w:rsid w:val="00361FBE"/>
    <w:rsid w:val="003642E7"/>
    <w:rsid w:val="00365C35"/>
    <w:rsid w:val="00366058"/>
    <w:rsid w:val="00366291"/>
    <w:rsid w:val="00366DDE"/>
    <w:rsid w:val="00374FD1"/>
    <w:rsid w:val="00380C31"/>
    <w:rsid w:val="00381BB7"/>
    <w:rsid w:val="00383FA1"/>
    <w:rsid w:val="00384AF8"/>
    <w:rsid w:val="00394944"/>
    <w:rsid w:val="00394D2B"/>
    <w:rsid w:val="003A79E2"/>
    <w:rsid w:val="003B1E77"/>
    <w:rsid w:val="003B4AA3"/>
    <w:rsid w:val="003B6F63"/>
    <w:rsid w:val="003C0AD8"/>
    <w:rsid w:val="003D1C0E"/>
    <w:rsid w:val="003D2A07"/>
    <w:rsid w:val="003D4F7C"/>
    <w:rsid w:val="003D7EC2"/>
    <w:rsid w:val="003E14CE"/>
    <w:rsid w:val="00407460"/>
    <w:rsid w:val="00414494"/>
    <w:rsid w:val="004171BD"/>
    <w:rsid w:val="00417219"/>
    <w:rsid w:val="00417F3E"/>
    <w:rsid w:val="0042418B"/>
    <w:rsid w:val="00424748"/>
    <w:rsid w:val="004323A4"/>
    <w:rsid w:val="004368C6"/>
    <w:rsid w:val="00437ADC"/>
    <w:rsid w:val="00453C95"/>
    <w:rsid w:val="004554FB"/>
    <w:rsid w:val="00456E42"/>
    <w:rsid w:val="004621EF"/>
    <w:rsid w:val="00467DB1"/>
    <w:rsid w:val="00470ADC"/>
    <w:rsid w:val="00470E8B"/>
    <w:rsid w:val="004758B8"/>
    <w:rsid w:val="0048066C"/>
    <w:rsid w:val="00492441"/>
    <w:rsid w:val="00492581"/>
    <w:rsid w:val="00497F41"/>
    <w:rsid w:val="004A6B4F"/>
    <w:rsid w:val="004A6EF6"/>
    <w:rsid w:val="004B1F25"/>
    <w:rsid w:val="004B2753"/>
    <w:rsid w:val="004B4961"/>
    <w:rsid w:val="004B5073"/>
    <w:rsid w:val="004C7750"/>
    <w:rsid w:val="004D1CBE"/>
    <w:rsid w:val="004D7A71"/>
    <w:rsid w:val="004E2A69"/>
    <w:rsid w:val="004E4DC6"/>
    <w:rsid w:val="004E51D7"/>
    <w:rsid w:val="004E5394"/>
    <w:rsid w:val="004F4EDB"/>
    <w:rsid w:val="005015AE"/>
    <w:rsid w:val="00522E1B"/>
    <w:rsid w:val="00536596"/>
    <w:rsid w:val="00536DD9"/>
    <w:rsid w:val="00546214"/>
    <w:rsid w:val="00546D03"/>
    <w:rsid w:val="00547BEB"/>
    <w:rsid w:val="0056020E"/>
    <w:rsid w:val="00560270"/>
    <w:rsid w:val="00582095"/>
    <w:rsid w:val="005823D2"/>
    <w:rsid w:val="005868B6"/>
    <w:rsid w:val="00590DD7"/>
    <w:rsid w:val="00593538"/>
    <w:rsid w:val="00594F14"/>
    <w:rsid w:val="005A1718"/>
    <w:rsid w:val="005A396C"/>
    <w:rsid w:val="005A3974"/>
    <w:rsid w:val="005A4CDB"/>
    <w:rsid w:val="005A4E0E"/>
    <w:rsid w:val="005A6DA9"/>
    <w:rsid w:val="005B1EFE"/>
    <w:rsid w:val="005D462F"/>
    <w:rsid w:val="005D4F00"/>
    <w:rsid w:val="005D6484"/>
    <w:rsid w:val="005D75D6"/>
    <w:rsid w:val="005D7B3D"/>
    <w:rsid w:val="005E0853"/>
    <w:rsid w:val="005E29F9"/>
    <w:rsid w:val="005E2F49"/>
    <w:rsid w:val="005E3D0F"/>
    <w:rsid w:val="005E592D"/>
    <w:rsid w:val="005F6525"/>
    <w:rsid w:val="006057BE"/>
    <w:rsid w:val="00615846"/>
    <w:rsid w:val="00630DFF"/>
    <w:rsid w:val="00630F47"/>
    <w:rsid w:val="006317BC"/>
    <w:rsid w:val="00631BC0"/>
    <w:rsid w:val="006339BB"/>
    <w:rsid w:val="006401A4"/>
    <w:rsid w:val="00642985"/>
    <w:rsid w:val="006539A5"/>
    <w:rsid w:val="00654B2F"/>
    <w:rsid w:val="00661209"/>
    <w:rsid w:val="006658CD"/>
    <w:rsid w:val="00666BA8"/>
    <w:rsid w:val="0067474D"/>
    <w:rsid w:val="0067616C"/>
    <w:rsid w:val="00677925"/>
    <w:rsid w:val="00684808"/>
    <w:rsid w:val="00685076"/>
    <w:rsid w:val="006878DE"/>
    <w:rsid w:val="00691441"/>
    <w:rsid w:val="006930F6"/>
    <w:rsid w:val="00693466"/>
    <w:rsid w:val="00696C1F"/>
    <w:rsid w:val="00697A84"/>
    <w:rsid w:val="006A2EE7"/>
    <w:rsid w:val="006A3FB1"/>
    <w:rsid w:val="006B0B20"/>
    <w:rsid w:val="006B0C36"/>
    <w:rsid w:val="006B2B62"/>
    <w:rsid w:val="006B2BC1"/>
    <w:rsid w:val="006B3773"/>
    <w:rsid w:val="006B51AD"/>
    <w:rsid w:val="006B5C55"/>
    <w:rsid w:val="006B782F"/>
    <w:rsid w:val="006C3C1F"/>
    <w:rsid w:val="006C7923"/>
    <w:rsid w:val="006E1D9A"/>
    <w:rsid w:val="006E2DEB"/>
    <w:rsid w:val="006E421E"/>
    <w:rsid w:val="006E616A"/>
    <w:rsid w:val="006F0342"/>
    <w:rsid w:val="006F05CB"/>
    <w:rsid w:val="006F3196"/>
    <w:rsid w:val="00703800"/>
    <w:rsid w:val="00711409"/>
    <w:rsid w:val="00713FC8"/>
    <w:rsid w:val="0071503D"/>
    <w:rsid w:val="00715C9E"/>
    <w:rsid w:val="007232D4"/>
    <w:rsid w:val="00726921"/>
    <w:rsid w:val="00732909"/>
    <w:rsid w:val="007346E0"/>
    <w:rsid w:val="007354E2"/>
    <w:rsid w:val="00742BC7"/>
    <w:rsid w:val="00744581"/>
    <w:rsid w:val="00745021"/>
    <w:rsid w:val="00751C91"/>
    <w:rsid w:val="00756CCE"/>
    <w:rsid w:val="0076139B"/>
    <w:rsid w:val="0076249E"/>
    <w:rsid w:val="00763A7A"/>
    <w:rsid w:val="007667F4"/>
    <w:rsid w:val="007842BD"/>
    <w:rsid w:val="00786694"/>
    <w:rsid w:val="00787542"/>
    <w:rsid w:val="00790CF5"/>
    <w:rsid w:val="007933F1"/>
    <w:rsid w:val="007B154B"/>
    <w:rsid w:val="007B16C9"/>
    <w:rsid w:val="007D0DBC"/>
    <w:rsid w:val="007D4AC2"/>
    <w:rsid w:val="007E4B48"/>
    <w:rsid w:val="007E6544"/>
    <w:rsid w:val="007E658C"/>
    <w:rsid w:val="007F4465"/>
    <w:rsid w:val="007F7AC8"/>
    <w:rsid w:val="0080047B"/>
    <w:rsid w:val="00803B2D"/>
    <w:rsid w:val="008107BB"/>
    <w:rsid w:val="00812B76"/>
    <w:rsid w:val="00823971"/>
    <w:rsid w:val="00830FDC"/>
    <w:rsid w:val="00831225"/>
    <w:rsid w:val="00840484"/>
    <w:rsid w:val="00842EA2"/>
    <w:rsid w:val="00853413"/>
    <w:rsid w:val="0085454B"/>
    <w:rsid w:val="00862048"/>
    <w:rsid w:val="00864E27"/>
    <w:rsid w:val="0087012F"/>
    <w:rsid w:val="00870465"/>
    <w:rsid w:val="00870CDC"/>
    <w:rsid w:val="00877849"/>
    <w:rsid w:val="00880C78"/>
    <w:rsid w:val="008855CB"/>
    <w:rsid w:val="00891BCB"/>
    <w:rsid w:val="00891C0A"/>
    <w:rsid w:val="0089590B"/>
    <w:rsid w:val="008A0DA6"/>
    <w:rsid w:val="008A24EA"/>
    <w:rsid w:val="008A433F"/>
    <w:rsid w:val="008A5685"/>
    <w:rsid w:val="008A65E1"/>
    <w:rsid w:val="008A6C0C"/>
    <w:rsid w:val="008B0A2B"/>
    <w:rsid w:val="008B1ED5"/>
    <w:rsid w:val="008B6248"/>
    <w:rsid w:val="008B6960"/>
    <w:rsid w:val="008C4B39"/>
    <w:rsid w:val="008C7099"/>
    <w:rsid w:val="008D0CBF"/>
    <w:rsid w:val="008D0FAE"/>
    <w:rsid w:val="008D1DF7"/>
    <w:rsid w:val="008E2482"/>
    <w:rsid w:val="008E32D6"/>
    <w:rsid w:val="008E63B9"/>
    <w:rsid w:val="008E798B"/>
    <w:rsid w:val="00916DA1"/>
    <w:rsid w:val="00917C9B"/>
    <w:rsid w:val="00920A03"/>
    <w:rsid w:val="00921A7A"/>
    <w:rsid w:val="00921BE9"/>
    <w:rsid w:val="009243B4"/>
    <w:rsid w:val="00927A0F"/>
    <w:rsid w:val="00930D72"/>
    <w:rsid w:val="00942C1E"/>
    <w:rsid w:val="0094351C"/>
    <w:rsid w:val="00945A97"/>
    <w:rsid w:val="00947B7E"/>
    <w:rsid w:val="00950D8A"/>
    <w:rsid w:val="00952D5C"/>
    <w:rsid w:val="00952F17"/>
    <w:rsid w:val="009535C7"/>
    <w:rsid w:val="00953DF4"/>
    <w:rsid w:val="0095525C"/>
    <w:rsid w:val="00956770"/>
    <w:rsid w:val="00964876"/>
    <w:rsid w:val="0096780E"/>
    <w:rsid w:val="009718B0"/>
    <w:rsid w:val="00974D44"/>
    <w:rsid w:val="009757B7"/>
    <w:rsid w:val="00977E03"/>
    <w:rsid w:val="00981E99"/>
    <w:rsid w:val="009856A6"/>
    <w:rsid w:val="00987E5E"/>
    <w:rsid w:val="00990E90"/>
    <w:rsid w:val="009939BF"/>
    <w:rsid w:val="00994053"/>
    <w:rsid w:val="009A41FE"/>
    <w:rsid w:val="009A44FC"/>
    <w:rsid w:val="009B072D"/>
    <w:rsid w:val="009C4073"/>
    <w:rsid w:val="009C6BA6"/>
    <w:rsid w:val="009D45DF"/>
    <w:rsid w:val="009D764C"/>
    <w:rsid w:val="009D7A6A"/>
    <w:rsid w:val="009E01A0"/>
    <w:rsid w:val="009E3656"/>
    <w:rsid w:val="009E4B59"/>
    <w:rsid w:val="00A02D02"/>
    <w:rsid w:val="00A0596D"/>
    <w:rsid w:val="00A07893"/>
    <w:rsid w:val="00A118E5"/>
    <w:rsid w:val="00A15893"/>
    <w:rsid w:val="00A20624"/>
    <w:rsid w:val="00A22261"/>
    <w:rsid w:val="00A309E0"/>
    <w:rsid w:val="00A31449"/>
    <w:rsid w:val="00A40A31"/>
    <w:rsid w:val="00A40DF8"/>
    <w:rsid w:val="00A425D0"/>
    <w:rsid w:val="00A443A2"/>
    <w:rsid w:val="00A45787"/>
    <w:rsid w:val="00A5749A"/>
    <w:rsid w:val="00A6001D"/>
    <w:rsid w:val="00A60D59"/>
    <w:rsid w:val="00A62343"/>
    <w:rsid w:val="00A64D42"/>
    <w:rsid w:val="00A7496F"/>
    <w:rsid w:val="00A80DE2"/>
    <w:rsid w:val="00A912D6"/>
    <w:rsid w:val="00A938D6"/>
    <w:rsid w:val="00A97648"/>
    <w:rsid w:val="00AA3BCB"/>
    <w:rsid w:val="00AA4617"/>
    <w:rsid w:val="00AB246D"/>
    <w:rsid w:val="00AB4692"/>
    <w:rsid w:val="00AB5FBF"/>
    <w:rsid w:val="00AD6D50"/>
    <w:rsid w:val="00AD706B"/>
    <w:rsid w:val="00AE543A"/>
    <w:rsid w:val="00AE6941"/>
    <w:rsid w:val="00B04698"/>
    <w:rsid w:val="00B07C29"/>
    <w:rsid w:val="00B11078"/>
    <w:rsid w:val="00B1260B"/>
    <w:rsid w:val="00B14336"/>
    <w:rsid w:val="00B14887"/>
    <w:rsid w:val="00B15FA9"/>
    <w:rsid w:val="00B21B35"/>
    <w:rsid w:val="00B279C4"/>
    <w:rsid w:val="00B37179"/>
    <w:rsid w:val="00B404DA"/>
    <w:rsid w:val="00B4214D"/>
    <w:rsid w:val="00B42415"/>
    <w:rsid w:val="00B443C9"/>
    <w:rsid w:val="00B454F3"/>
    <w:rsid w:val="00B47C8F"/>
    <w:rsid w:val="00B56569"/>
    <w:rsid w:val="00B57DE9"/>
    <w:rsid w:val="00B6389D"/>
    <w:rsid w:val="00B6727E"/>
    <w:rsid w:val="00B70385"/>
    <w:rsid w:val="00B76276"/>
    <w:rsid w:val="00B820DF"/>
    <w:rsid w:val="00B83824"/>
    <w:rsid w:val="00BA1EF4"/>
    <w:rsid w:val="00BA6A97"/>
    <w:rsid w:val="00BB2CDE"/>
    <w:rsid w:val="00BC0EB5"/>
    <w:rsid w:val="00BC2ED8"/>
    <w:rsid w:val="00BC44D1"/>
    <w:rsid w:val="00BC64D4"/>
    <w:rsid w:val="00BC7905"/>
    <w:rsid w:val="00BD40DE"/>
    <w:rsid w:val="00BD6EA7"/>
    <w:rsid w:val="00BD74DD"/>
    <w:rsid w:val="00BE647A"/>
    <w:rsid w:val="00BE6483"/>
    <w:rsid w:val="00BE681D"/>
    <w:rsid w:val="00BF1D72"/>
    <w:rsid w:val="00BF6F7A"/>
    <w:rsid w:val="00C01FD3"/>
    <w:rsid w:val="00C0317B"/>
    <w:rsid w:val="00C03AD7"/>
    <w:rsid w:val="00C0579C"/>
    <w:rsid w:val="00C06DFF"/>
    <w:rsid w:val="00C0711D"/>
    <w:rsid w:val="00C13986"/>
    <w:rsid w:val="00C1509F"/>
    <w:rsid w:val="00C20832"/>
    <w:rsid w:val="00C21300"/>
    <w:rsid w:val="00C22253"/>
    <w:rsid w:val="00C271C2"/>
    <w:rsid w:val="00C34B17"/>
    <w:rsid w:val="00C356FA"/>
    <w:rsid w:val="00C35DF2"/>
    <w:rsid w:val="00C35F1C"/>
    <w:rsid w:val="00C42728"/>
    <w:rsid w:val="00C451CE"/>
    <w:rsid w:val="00C5190A"/>
    <w:rsid w:val="00C54EDC"/>
    <w:rsid w:val="00C629F0"/>
    <w:rsid w:val="00C6389F"/>
    <w:rsid w:val="00C73ED7"/>
    <w:rsid w:val="00C76A1E"/>
    <w:rsid w:val="00C770C9"/>
    <w:rsid w:val="00C80E5B"/>
    <w:rsid w:val="00C864C7"/>
    <w:rsid w:val="00C87BF0"/>
    <w:rsid w:val="00C87CD3"/>
    <w:rsid w:val="00C91B0F"/>
    <w:rsid w:val="00C933F6"/>
    <w:rsid w:val="00C95AB6"/>
    <w:rsid w:val="00CA1B65"/>
    <w:rsid w:val="00CB1913"/>
    <w:rsid w:val="00CB21F2"/>
    <w:rsid w:val="00CB469B"/>
    <w:rsid w:val="00CC421B"/>
    <w:rsid w:val="00CC7956"/>
    <w:rsid w:val="00CD0105"/>
    <w:rsid w:val="00CD40F0"/>
    <w:rsid w:val="00CD45C3"/>
    <w:rsid w:val="00CE0F76"/>
    <w:rsid w:val="00CE5A39"/>
    <w:rsid w:val="00CE7DC9"/>
    <w:rsid w:val="00CF1C5A"/>
    <w:rsid w:val="00D000BE"/>
    <w:rsid w:val="00D02E9B"/>
    <w:rsid w:val="00D03CE5"/>
    <w:rsid w:val="00D0757F"/>
    <w:rsid w:val="00D10774"/>
    <w:rsid w:val="00D1243C"/>
    <w:rsid w:val="00D1273B"/>
    <w:rsid w:val="00D15687"/>
    <w:rsid w:val="00D169D0"/>
    <w:rsid w:val="00D22F6F"/>
    <w:rsid w:val="00D236F5"/>
    <w:rsid w:val="00D23713"/>
    <w:rsid w:val="00D30407"/>
    <w:rsid w:val="00D3272D"/>
    <w:rsid w:val="00D36477"/>
    <w:rsid w:val="00D40D55"/>
    <w:rsid w:val="00D46321"/>
    <w:rsid w:val="00D46BA0"/>
    <w:rsid w:val="00D53165"/>
    <w:rsid w:val="00D54EEF"/>
    <w:rsid w:val="00D55C33"/>
    <w:rsid w:val="00D56AF6"/>
    <w:rsid w:val="00D56C22"/>
    <w:rsid w:val="00D610D1"/>
    <w:rsid w:val="00D63EA7"/>
    <w:rsid w:val="00D64FCB"/>
    <w:rsid w:val="00D653C4"/>
    <w:rsid w:val="00D67AF5"/>
    <w:rsid w:val="00D73603"/>
    <w:rsid w:val="00D75918"/>
    <w:rsid w:val="00D777BD"/>
    <w:rsid w:val="00D80F55"/>
    <w:rsid w:val="00D954AD"/>
    <w:rsid w:val="00D95A64"/>
    <w:rsid w:val="00D97228"/>
    <w:rsid w:val="00DA5AA3"/>
    <w:rsid w:val="00DA6C02"/>
    <w:rsid w:val="00DB2EF4"/>
    <w:rsid w:val="00DC3ED9"/>
    <w:rsid w:val="00DC41DE"/>
    <w:rsid w:val="00DC7C6D"/>
    <w:rsid w:val="00DD4CBC"/>
    <w:rsid w:val="00DE1D55"/>
    <w:rsid w:val="00DE3531"/>
    <w:rsid w:val="00DE69AF"/>
    <w:rsid w:val="00DF06F4"/>
    <w:rsid w:val="00DF0755"/>
    <w:rsid w:val="00DF48BC"/>
    <w:rsid w:val="00DF71D8"/>
    <w:rsid w:val="00DF7231"/>
    <w:rsid w:val="00E029C7"/>
    <w:rsid w:val="00E02EB6"/>
    <w:rsid w:val="00E05F93"/>
    <w:rsid w:val="00E07BF3"/>
    <w:rsid w:val="00E1033D"/>
    <w:rsid w:val="00E144FD"/>
    <w:rsid w:val="00E15E97"/>
    <w:rsid w:val="00E26C5A"/>
    <w:rsid w:val="00E33DF6"/>
    <w:rsid w:val="00E35868"/>
    <w:rsid w:val="00E42DF2"/>
    <w:rsid w:val="00E46C58"/>
    <w:rsid w:val="00E475FD"/>
    <w:rsid w:val="00E54765"/>
    <w:rsid w:val="00E568F3"/>
    <w:rsid w:val="00E7018B"/>
    <w:rsid w:val="00E70546"/>
    <w:rsid w:val="00E84DBD"/>
    <w:rsid w:val="00E84FE1"/>
    <w:rsid w:val="00E90763"/>
    <w:rsid w:val="00E92175"/>
    <w:rsid w:val="00E95E14"/>
    <w:rsid w:val="00E96B1E"/>
    <w:rsid w:val="00E976C3"/>
    <w:rsid w:val="00E97AAF"/>
    <w:rsid w:val="00EB18D2"/>
    <w:rsid w:val="00EB1CC1"/>
    <w:rsid w:val="00EB3C12"/>
    <w:rsid w:val="00EB6FDA"/>
    <w:rsid w:val="00EC2714"/>
    <w:rsid w:val="00EC5483"/>
    <w:rsid w:val="00EC54DD"/>
    <w:rsid w:val="00EC654D"/>
    <w:rsid w:val="00EC6F66"/>
    <w:rsid w:val="00ED11B7"/>
    <w:rsid w:val="00ED15DD"/>
    <w:rsid w:val="00ED65E1"/>
    <w:rsid w:val="00EE41DA"/>
    <w:rsid w:val="00EE7D44"/>
    <w:rsid w:val="00EF2222"/>
    <w:rsid w:val="00F010C1"/>
    <w:rsid w:val="00F17627"/>
    <w:rsid w:val="00F21A00"/>
    <w:rsid w:val="00F245B7"/>
    <w:rsid w:val="00F270A6"/>
    <w:rsid w:val="00F346AA"/>
    <w:rsid w:val="00F354E6"/>
    <w:rsid w:val="00F433A9"/>
    <w:rsid w:val="00F5163F"/>
    <w:rsid w:val="00F55C95"/>
    <w:rsid w:val="00F56138"/>
    <w:rsid w:val="00F6067D"/>
    <w:rsid w:val="00F70885"/>
    <w:rsid w:val="00F83C70"/>
    <w:rsid w:val="00F846D8"/>
    <w:rsid w:val="00F873BE"/>
    <w:rsid w:val="00F978AE"/>
    <w:rsid w:val="00FA2C5C"/>
    <w:rsid w:val="00FA5762"/>
    <w:rsid w:val="00FB0BAE"/>
    <w:rsid w:val="00FB6F29"/>
    <w:rsid w:val="00FC1BF8"/>
    <w:rsid w:val="00FC1F91"/>
    <w:rsid w:val="00FC2016"/>
    <w:rsid w:val="00FD6A6D"/>
    <w:rsid w:val="00FD7DE2"/>
    <w:rsid w:val="00FE134D"/>
    <w:rsid w:val="00FE3751"/>
    <w:rsid w:val="00FE3CCE"/>
    <w:rsid w:val="00FE6C41"/>
    <w:rsid w:val="00FF19B9"/>
    <w:rsid w:val="00FF249A"/>
    <w:rsid w:val="00FF62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066FA72"/>
  <w15:chartTrackingRefBased/>
  <w15:docId w15:val="{3D57F236-D6A6-48CC-A9D4-C8B17C9AE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1225"/>
  </w:style>
  <w:style w:type="paragraph" w:styleId="Heading1">
    <w:name w:val="heading 1"/>
    <w:aliases w:val="Proc Heading"/>
    <w:basedOn w:val="Normal"/>
    <w:link w:val="Heading1Char"/>
    <w:qFormat/>
    <w:rsid w:val="00CE7DC9"/>
    <w:pPr>
      <w:jc w:val="center"/>
      <w:outlineLvl w:val="0"/>
    </w:pPr>
    <w:rPr>
      <w:b/>
      <w:caps/>
    </w:rPr>
  </w:style>
  <w:style w:type="paragraph" w:styleId="Heading2">
    <w:name w:val="heading 2"/>
    <w:basedOn w:val="Normal"/>
    <w:link w:val="Heading2Char"/>
    <w:uiPriority w:val="9"/>
    <w:rsid w:val="00CE7DC9"/>
    <w:pPr>
      <w:shd w:val="clear" w:color="auto" w:fill="FFFFFF"/>
      <w:spacing w:before="100" w:beforeAutospacing="1" w:after="100" w:afterAutospacing="1"/>
      <w:outlineLvl w:val="1"/>
    </w:pPr>
    <w:rPr>
      <w:b/>
      <w:bCs/>
      <w:color w:val="FF4500"/>
      <w:sz w:val="17"/>
      <w:szCs w:val="17"/>
    </w:rPr>
  </w:style>
  <w:style w:type="paragraph" w:styleId="Heading3">
    <w:name w:val="heading 3"/>
    <w:basedOn w:val="Normal"/>
    <w:next w:val="Normal"/>
    <w:link w:val="Heading3Char"/>
    <w:semiHidden/>
    <w:unhideWhenUsed/>
    <w:qFormat/>
    <w:rsid w:val="00CE7DC9"/>
    <w:pPr>
      <w:keepNext/>
      <w:spacing w:before="240" w:after="60"/>
      <w:outlineLvl w:val="2"/>
    </w:pPr>
    <w:rPr>
      <w:rFonts w:ascii="Cambria" w:hAnsi="Cambria"/>
      <w:b/>
      <w:bCs/>
      <w:sz w:val="26"/>
      <w:szCs w:val="26"/>
    </w:rPr>
  </w:style>
  <w:style w:type="paragraph" w:styleId="Heading4">
    <w:name w:val="heading 4"/>
    <w:basedOn w:val="Normal"/>
    <w:next w:val="Normal"/>
    <w:link w:val="Heading4Char"/>
    <w:semiHidden/>
    <w:unhideWhenUsed/>
    <w:qFormat/>
    <w:rsid w:val="00CE7DC9"/>
    <w:pPr>
      <w:keepNext/>
      <w:spacing w:before="240" w:after="60"/>
      <w:outlineLvl w:val="3"/>
    </w:pPr>
    <w:rPr>
      <w:b/>
      <w:bCs/>
      <w:sz w:val="28"/>
      <w:szCs w:val="28"/>
    </w:rPr>
  </w:style>
  <w:style w:type="paragraph" w:styleId="Heading5">
    <w:name w:val="heading 5"/>
    <w:basedOn w:val="Normal"/>
    <w:next w:val="Normal"/>
    <w:link w:val="Heading5Char"/>
    <w:semiHidden/>
    <w:unhideWhenUsed/>
    <w:qFormat/>
    <w:rsid w:val="00CE7DC9"/>
    <w:pPr>
      <w:spacing w:before="240" w:after="60"/>
      <w:outlineLvl w:val="4"/>
    </w:pPr>
    <w:rPr>
      <w:b/>
      <w:bCs/>
      <w:i/>
      <w:iCs/>
      <w:sz w:val="26"/>
      <w:szCs w:val="26"/>
    </w:rPr>
  </w:style>
  <w:style w:type="paragraph" w:styleId="Heading6">
    <w:name w:val="heading 6"/>
    <w:basedOn w:val="Normal"/>
    <w:next w:val="Normal"/>
    <w:link w:val="Heading6Char"/>
    <w:semiHidden/>
    <w:unhideWhenUsed/>
    <w:qFormat/>
    <w:rsid w:val="00CE7DC9"/>
    <w:pPr>
      <w:spacing w:before="240" w:after="60"/>
      <w:outlineLvl w:val="5"/>
    </w:pPr>
    <w:rPr>
      <w:b/>
      <w:bCs/>
      <w:sz w:val="22"/>
      <w:szCs w:val="22"/>
    </w:rPr>
  </w:style>
  <w:style w:type="paragraph" w:styleId="Heading7">
    <w:name w:val="heading 7"/>
    <w:basedOn w:val="Normal"/>
    <w:next w:val="Normal"/>
    <w:link w:val="Heading7Char"/>
    <w:semiHidden/>
    <w:unhideWhenUsed/>
    <w:qFormat/>
    <w:rsid w:val="00CE7DC9"/>
    <w:pPr>
      <w:spacing w:before="240" w:after="60"/>
      <w:outlineLvl w:val="6"/>
    </w:pPr>
    <w:rPr>
      <w:sz w:val="24"/>
    </w:rPr>
  </w:style>
  <w:style w:type="paragraph" w:styleId="Heading8">
    <w:name w:val="heading 8"/>
    <w:basedOn w:val="Normal"/>
    <w:next w:val="Normal"/>
    <w:link w:val="Heading8Char"/>
    <w:semiHidden/>
    <w:unhideWhenUsed/>
    <w:qFormat/>
    <w:rsid w:val="00CE7DC9"/>
    <w:pPr>
      <w:spacing w:before="240" w:after="60"/>
      <w:outlineLvl w:val="7"/>
    </w:pPr>
    <w:rPr>
      <w:i/>
      <w:iCs/>
      <w:sz w:val="24"/>
    </w:rPr>
  </w:style>
  <w:style w:type="paragraph" w:styleId="Heading9">
    <w:name w:val="heading 9"/>
    <w:basedOn w:val="Normal"/>
    <w:next w:val="Normal"/>
    <w:link w:val="Heading9Char"/>
    <w:semiHidden/>
    <w:unhideWhenUsed/>
    <w:qFormat/>
    <w:rsid w:val="00CE7DC9"/>
    <w:p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7DC9"/>
    <w:pPr>
      <w:ind w:left="720"/>
    </w:pPr>
  </w:style>
  <w:style w:type="paragraph" w:customStyle="1" w:styleId="ResHdr">
    <w:name w:val="ResHdr"/>
    <w:basedOn w:val="Normal"/>
    <w:link w:val="ResHdrChar"/>
    <w:autoRedefine/>
    <w:qFormat/>
    <w:rsid w:val="004E4DC6"/>
    <w:pPr>
      <w:widowControl w:val="0"/>
    </w:pPr>
    <w:rPr>
      <w:rFonts w:eastAsiaTheme="minorHAnsi" w:cstheme="minorBidi"/>
      <w:b/>
      <w:caps/>
    </w:rPr>
  </w:style>
  <w:style w:type="character" w:customStyle="1" w:styleId="ResHdrChar">
    <w:name w:val="ResHdr Char"/>
    <w:basedOn w:val="DefaultParagraphFont"/>
    <w:link w:val="ResHdr"/>
    <w:rsid w:val="004E4DC6"/>
    <w:rPr>
      <w:rFonts w:eastAsiaTheme="minorHAnsi" w:cstheme="minorBidi"/>
      <w:b/>
      <w:caps/>
    </w:rPr>
  </w:style>
  <w:style w:type="paragraph" w:customStyle="1" w:styleId="ProcMbrLst">
    <w:name w:val="Proc Mbr Lst"/>
    <w:basedOn w:val="Normal"/>
    <w:qFormat/>
    <w:rsid w:val="00CE7DC9"/>
    <w:pPr>
      <w:jc w:val="both"/>
    </w:pPr>
    <w:rPr>
      <w:noProof/>
    </w:rPr>
  </w:style>
  <w:style w:type="paragraph" w:customStyle="1" w:styleId="ProcSubHeading">
    <w:name w:val="Proc Sub Heading"/>
    <w:basedOn w:val="Normal"/>
    <w:link w:val="ProcSubHeadingChar"/>
    <w:qFormat/>
    <w:rsid w:val="00CE7DC9"/>
    <w:pPr>
      <w:autoSpaceDE w:val="0"/>
      <w:autoSpaceDN w:val="0"/>
      <w:adjustRightInd w:val="0"/>
      <w:jc w:val="center"/>
    </w:pPr>
    <w:rPr>
      <w:szCs w:val="32"/>
    </w:rPr>
  </w:style>
  <w:style w:type="character" w:customStyle="1" w:styleId="ProcSubHeadingChar">
    <w:name w:val="Proc Sub Heading Char"/>
    <w:link w:val="ProcSubHeading"/>
    <w:rsid w:val="00CE7DC9"/>
    <w:rPr>
      <w:rFonts w:ascii="Arial" w:hAnsi="Arial"/>
      <w:szCs w:val="32"/>
    </w:rPr>
  </w:style>
  <w:style w:type="paragraph" w:customStyle="1" w:styleId="ProcMbrlist">
    <w:name w:val="Proc Mbr list"/>
    <w:basedOn w:val="ProcSubHeading"/>
    <w:link w:val="ProcMbrlistChar"/>
    <w:qFormat/>
    <w:rsid w:val="00CE7DC9"/>
    <w:pPr>
      <w:jc w:val="both"/>
    </w:pPr>
  </w:style>
  <w:style w:type="character" w:customStyle="1" w:styleId="ProcMbrlistChar">
    <w:name w:val="Proc Mbr list Char"/>
    <w:link w:val="ProcMbrlist"/>
    <w:rsid w:val="00CE7DC9"/>
    <w:rPr>
      <w:rFonts w:ascii="Arial" w:hAnsi="Arial"/>
      <w:szCs w:val="32"/>
    </w:rPr>
  </w:style>
  <w:style w:type="paragraph" w:customStyle="1" w:styleId="ProcBody">
    <w:name w:val="Proc Body"/>
    <w:basedOn w:val="Normal"/>
    <w:link w:val="ProcBodyChar"/>
    <w:qFormat/>
    <w:rsid w:val="008D0FAE"/>
    <w:pPr>
      <w:ind w:firstLine="360"/>
    </w:pPr>
  </w:style>
  <w:style w:type="character" w:customStyle="1" w:styleId="ProcBodyChar">
    <w:name w:val="Proc Body Char"/>
    <w:link w:val="ProcBody"/>
    <w:rsid w:val="008D0FAE"/>
    <w:rPr>
      <w:rFonts w:ascii="Arial" w:hAnsi="Arial"/>
    </w:rPr>
  </w:style>
  <w:style w:type="paragraph" w:customStyle="1" w:styleId="ProcReferences">
    <w:name w:val="Proc References"/>
    <w:basedOn w:val="ProcBody"/>
    <w:link w:val="ProcReferencesChar"/>
    <w:qFormat/>
    <w:rsid w:val="00CE7DC9"/>
    <w:pPr>
      <w:ind w:left="360" w:hanging="360"/>
    </w:pPr>
  </w:style>
  <w:style w:type="character" w:customStyle="1" w:styleId="ProcReferencesChar">
    <w:name w:val="Proc References Char"/>
    <w:link w:val="ProcReferences"/>
    <w:rsid w:val="00CE7DC9"/>
    <w:rPr>
      <w:rFonts w:ascii="Arial" w:hAnsi="Arial"/>
      <w:szCs w:val="24"/>
    </w:rPr>
  </w:style>
  <w:style w:type="paragraph" w:customStyle="1" w:styleId="ProcBodyHeading">
    <w:name w:val="Proc Body Heading"/>
    <w:basedOn w:val="ProcBody"/>
    <w:link w:val="ProcBodyHeadingChar"/>
    <w:qFormat/>
    <w:rsid w:val="00CE7DC9"/>
    <w:pPr>
      <w:ind w:firstLine="0"/>
    </w:pPr>
    <w:rPr>
      <w:b/>
    </w:rPr>
  </w:style>
  <w:style w:type="character" w:customStyle="1" w:styleId="ProcBodyHeadingChar">
    <w:name w:val="Proc Body Heading Char"/>
    <w:link w:val="ProcBodyHeading"/>
    <w:rsid w:val="00CE7DC9"/>
    <w:rPr>
      <w:rFonts w:ascii="Arial" w:hAnsi="Arial"/>
      <w:b/>
      <w:szCs w:val="24"/>
    </w:rPr>
  </w:style>
  <w:style w:type="paragraph" w:customStyle="1" w:styleId="ProcSubHead">
    <w:name w:val="Proc Sub Head"/>
    <w:basedOn w:val="Normal"/>
    <w:qFormat/>
    <w:rsid w:val="00C87BF0"/>
    <w:pPr>
      <w:jc w:val="center"/>
    </w:pPr>
  </w:style>
  <w:style w:type="paragraph" w:customStyle="1" w:styleId="Style1">
    <w:name w:val="Style1"/>
    <w:basedOn w:val="ListParagraph"/>
    <w:qFormat/>
    <w:rsid w:val="00CE7DC9"/>
    <w:pPr>
      <w:ind w:hanging="360"/>
      <w:jc w:val="both"/>
    </w:pPr>
    <w:rPr>
      <w:rFonts w:cs="Arial"/>
    </w:rPr>
  </w:style>
  <w:style w:type="paragraph" w:customStyle="1" w:styleId="ProcBullets">
    <w:name w:val="Proc Bullets"/>
    <w:basedOn w:val="Normal"/>
    <w:qFormat/>
    <w:rsid w:val="00CE7DC9"/>
    <w:pPr>
      <w:numPr>
        <w:numId w:val="7"/>
      </w:numPr>
      <w:jc w:val="both"/>
    </w:pPr>
    <w:rPr>
      <w:rFonts w:cs="Arial"/>
      <w:bCs/>
    </w:rPr>
  </w:style>
  <w:style w:type="paragraph" w:customStyle="1" w:styleId="Default">
    <w:name w:val="Default"/>
    <w:rsid w:val="00CE7DC9"/>
    <w:pPr>
      <w:autoSpaceDE w:val="0"/>
      <w:autoSpaceDN w:val="0"/>
      <w:adjustRightInd w:val="0"/>
    </w:pPr>
    <w:rPr>
      <w:rFonts w:eastAsia="Calibri" w:cs="Arial"/>
      <w:color w:val="000000"/>
      <w:sz w:val="24"/>
      <w:szCs w:val="24"/>
    </w:rPr>
  </w:style>
  <w:style w:type="paragraph" w:customStyle="1" w:styleId="Normal37">
    <w:name w:val="Normal+37"/>
    <w:basedOn w:val="Default"/>
    <w:next w:val="Default"/>
    <w:uiPriority w:val="99"/>
    <w:rsid w:val="00CE7DC9"/>
    <w:pPr>
      <w:widowControl w:val="0"/>
    </w:pPr>
    <w:rPr>
      <w:rFonts w:eastAsiaTheme="minorEastAsia"/>
      <w:color w:val="auto"/>
    </w:rPr>
  </w:style>
  <w:style w:type="paragraph" w:customStyle="1" w:styleId="yiv6955135338msonormal">
    <w:name w:val="yiv6955135338msonormal"/>
    <w:basedOn w:val="Normal"/>
    <w:rsid w:val="00CE7DC9"/>
    <w:pPr>
      <w:spacing w:before="100" w:beforeAutospacing="1" w:after="100" w:afterAutospacing="1"/>
    </w:pPr>
    <w:rPr>
      <w:rFonts w:ascii="Times New Roman" w:hAnsi="Times New Roman"/>
      <w:sz w:val="24"/>
    </w:rPr>
  </w:style>
  <w:style w:type="paragraph" w:customStyle="1" w:styleId="yiv3910526817msonormal">
    <w:name w:val="yiv3910526817msonormal"/>
    <w:basedOn w:val="Normal"/>
    <w:rsid w:val="00CE7DC9"/>
    <w:pPr>
      <w:spacing w:before="100" w:beforeAutospacing="1" w:after="100" w:afterAutospacing="1"/>
    </w:pPr>
    <w:rPr>
      <w:rFonts w:ascii="Times New Roman" w:hAnsi="Times New Roman"/>
      <w:sz w:val="24"/>
    </w:rPr>
  </w:style>
  <w:style w:type="character" w:customStyle="1" w:styleId="Heading1Char">
    <w:name w:val="Heading 1 Char"/>
    <w:aliases w:val="Proc Heading Char"/>
    <w:link w:val="Heading1"/>
    <w:rsid w:val="00CE7DC9"/>
    <w:rPr>
      <w:rFonts w:ascii="Arial" w:hAnsi="Arial"/>
      <w:b/>
      <w:caps/>
      <w:szCs w:val="24"/>
    </w:rPr>
  </w:style>
  <w:style w:type="character" w:customStyle="1" w:styleId="Heading2Char">
    <w:name w:val="Heading 2 Char"/>
    <w:link w:val="Heading2"/>
    <w:uiPriority w:val="9"/>
    <w:rsid w:val="00CE7DC9"/>
    <w:rPr>
      <w:rFonts w:ascii="Arial" w:hAnsi="Arial"/>
      <w:b/>
      <w:bCs/>
      <w:color w:val="FF4500"/>
      <w:sz w:val="17"/>
      <w:szCs w:val="17"/>
      <w:shd w:val="clear" w:color="auto" w:fill="FFFFFF"/>
    </w:rPr>
  </w:style>
  <w:style w:type="character" w:customStyle="1" w:styleId="Heading3Char">
    <w:name w:val="Heading 3 Char"/>
    <w:link w:val="Heading3"/>
    <w:semiHidden/>
    <w:rsid w:val="00CE7DC9"/>
    <w:rPr>
      <w:rFonts w:ascii="Cambria" w:hAnsi="Cambria"/>
      <w:b/>
      <w:bCs/>
      <w:sz w:val="26"/>
      <w:szCs w:val="26"/>
    </w:rPr>
  </w:style>
  <w:style w:type="character" w:customStyle="1" w:styleId="Heading4Char">
    <w:name w:val="Heading 4 Char"/>
    <w:link w:val="Heading4"/>
    <w:semiHidden/>
    <w:rsid w:val="00CE7DC9"/>
    <w:rPr>
      <w:rFonts w:ascii="Calibri" w:hAnsi="Calibri"/>
      <w:b/>
      <w:bCs/>
      <w:sz w:val="28"/>
      <w:szCs w:val="28"/>
    </w:rPr>
  </w:style>
  <w:style w:type="character" w:customStyle="1" w:styleId="Heading5Char">
    <w:name w:val="Heading 5 Char"/>
    <w:link w:val="Heading5"/>
    <w:semiHidden/>
    <w:rsid w:val="00CE7DC9"/>
    <w:rPr>
      <w:rFonts w:ascii="Calibri" w:hAnsi="Calibri"/>
      <w:b/>
      <w:bCs/>
      <w:i/>
      <w:iCs/>
      <w:sz w:val="26"/>
      <w:szCs w:val="26"/>
    </w:rPr>
  </w:style>
  <w:style w:type="character" w:customStyle="1" w:styleId="Heading6Char">
    <w:name w:val="Heading 6 Char"/>
    <w:link w:val="Heading6"/>
    <w:semiHidden/>
    <w:rsid w:val="00CE7DC9"/>
    <w:rPr>
      <w:rFonts w:ascii="Calibri" w:hAnsi="Calibri"/>
      <w:b/>
      <w:bCs/>
      <w:sz w:val="22"/>
      <w:szCs w:val="22"/>
    </w:rPr>
  </w:style>
  <w:style w:type="character" w:customStyle="1" w:styleId="Heading7Char">
    <w:name w:val="Heading 7 Char"/>
    <w:link w:val="Heading7"/>
    <w:semiHidden/>
    <w:rsid w:val="00CE7DC9"/>
    <w:rPr>
      <w:rFonts w:ascii="Calibri" w:hAnsi="Calibri"/>
      <w:sz w:val="24"/>
      <w:szCs w:val="24"/>
    </w:rPr>
  </w:style>
  <w:style w:type="character" w:customStyle="1" w:styleId="Heading8Char">
    <w:name w:val="Heading 8 Char"/>
    <w:link w:val="Heading8"/>
    <w:semiHidden/>
    <w:rsid w:val="00CE7DC9"/>
    <w:rPr>
      <w:rFonts w:ascii="Calibri" w:hAnsi="Calibri"/>
      <w:i/>
      <w:iCs/>
      <w:sz w:val="24"/>
      <w:szCs w:val="24"/>
    </w:rPr>
  </w:style>
  <w:style w:type="character" w:customStyle="1" w:styleId="Heading9Char">
    <w:name w:val="Heading 9 Char"/>
    <w:link w:val="Heading9"/>
    <w:semiHidden/>
    <w:rsid w:val="00CE7DC9"/>
    <w:rPr>
      <w:rFonts w:ascii="Cambria" w:hAnsi="Cambria"/>
      <w:sz w:val="22"/>
      <w:szCs w:val="22"/>
    </w:rPr>
  </w:style>
  <w:style w:type="paragraph" w:styleId="Header">
    <w:name w:val="header"/>
    <w:basedOn w:val="Normal"/>
    <w:link w:val="HeaderChar"/>
    <w:uiPriority w:val="99"/>
    <w:rsid w:val="00CE7DC9"/>
    <w:pPr>
      <w:tabs>
        <w:tab w:val="center" w:pos="4680"/>
        <w:tab w:val="right" w:pos="9360"/>
      </w:tabs>
    </w:pPr>
  </w:style>
  <w:style w:type="character" w:customStyle="1" w:styleId="HeaderChar">
    <w:name w:val="Header Char"/>
    <w:link w:val="Header"/>
    <w:uiPriority w:val="99"/>
    <w:rsid w:val="00CE7DC9"/>
    <w:rPr>
      <w:rFonts w:ascii="Arial" w:eastAsia="Calibri" w:hAnsi="Arial"/>
    </w:rPr>
  </w:style>
  <w:style w:type="paragraph" w:styleId="Footer">
    <w:name w:val="footer"/>
    <w:basedOn w:val="Normal"/>
    <w:link w:val="FooterChar"/>
    <w:uiPriority w:val="99"/>
    <w:unhideWhenUsed/>
    <w:rsid w:val="00CE7DC9"/>
    <w:pPr>
      <w:tabs>
        <w:tab w:val="center" w:pos="4680"/>
        <w:tab w:val="right" w:pos="9360"/>
      </w:tabs>
    </w:pPr>
  </w:style>
  <w:style w:type="character" w:customStyle="1" w:styleId="FooterChar">
    <w:name w:val="Footer Char"/>
    <w:link w:val="Footer"/>
    <w:uiPriority w:val="99"/>
    <w:rsid w:val="00CE7DC9"/>
    <w:rPr>
      <w:rFonts w:ascii="Arial" w:eastAsia="Calibri" w:hAnsi="Arial"/>
    </w:rPr>
  </w:style>
  <w:style w:type="paragraph" w:styleId="BodyText">
    <w:name w:val="Body Text"/>
    <w:basedOn w:val="Normal"/>
    <w:link w:val="BodyTextChar"/>
    <w:rsid w:val="00CE7DC9"/>
    <w:pPr>
      <w:tabs>
        <w:tab w:val="center" w:pos="4680"/>
      </w:tabs>
      <w:suppressAutoHyphens/>
    </w:pPr>
    <w:rPr>
      <w:b/>
      <w:spacing w:val="-3"/>
      <w:sz w:val="30"/>
    </w:rPr>
  </w:style>
  <w:style w:type="character" w:customStyle="1" w:styleId="BodyTextChar">
    <w:name w:val="Body Text Char"/>
    <w:link w:val="BodyText"/>
    <w:rsid w:val="00CE7DC9"/>
    <w:rPr>
      <w:rFonts w:ascii="Arial" w:hAnsi="Arial"/>
      <w:b/>
      <w:spacing w:val="-3"/>
      <w:sz w:val="30"/>
    </w:rPr>
  </w:style>
  <w:style w:type="paragraph" w:styleId="BodyTextIndent2">
    <w:name w:val="Body Text Indent 2"/>
    <w:basedOn w:val="Normal"/>
    <w:link w:val="BodyTextIndent2Char"/>
    <w:semiHidden/>
    <w:unhideWhenUsed/>
    <w:rsid w:val="00CE7DC9"/>
    <w:pPr>
      <w:spacing w:after="120" w:line="480" w:lineRule="auto"/>
      <w:ind w:left="360"/>
    </w:pPr>
  </w:style>
  <w:style w:type="character" w:customStyle="1" w:styleId="BodyTextIndent2Char">
    <w:name w:val="Body Text Indent 2 Char"/>
    <w:link w:val="BodyTextIndent2"/>
    <w:semiHidden/>
    <w:rsid w:val="00CE7DC9"/>
    <w:rPr>
      <w:rFonts w:ascii="Arial" w:eastAsia="Calibri" w:hAnsi="Arial"/>
      <w:szCs w:val="24"/>
    </w:rPr>
  </w:style>
  <w:style w:type="character" w:styleId="Hyperlink">
    <w:name w:val="Hyperlink"/>
    <w:uiPriority w:val="99"/>
    <w:unhideWhenUsed/>
    <w:rsid w:val="00CE7DC9"/>
    <w:rPr>
      <w:color w:val="0000FF"/>
      <w:u w:val="single"/>
    </w:rPr>
  </w:style>
  <w:style w:type="character" w:styleId="Strong">
    <w:name w:val="Strong"/>
    <w:uiPriority w:val="22"/>
    <w:qFormat/>
    <w:rsid w:val="00CE7DC9"/>
    <w:rPr>
      <w:b/>
      <w:bCs/>
    </w:rPr>
  </w:style>
  <w:style w:type="character" w:styleId="Emphasis">
    <w:name w:val="Emphasis"/>
    <w:uiPriority w:val="20"/>
    <w:qFormat/>
    <w:rsid w:val="00CE7DC9"/>
    <w:rPr>
      <w:i/>
      <w:iCs/>
    </w:rPr>
  </w:style>
  <w:style w:type="paragraph" w:styleId="BalloonText">
    <w:name w:val="Balloon Text"/>
    <w:basedOn w:val="Normal"/>
    <w:link w:val="BalloonTextChar"/>
    <w:uiPriority w:val="99"/>
    <w:semiHidden/>
    <w:unhideWhenUsed/>
    <w:rsid w:val="00CE7DC9"/>
    <w:rPr>
      <w:rFonts w:ascii="Tahoma" w:hAnsi="Tahoma"/>
      <w:sz w:val="16"/>
      <w:szCs w:val="16"/>
    </w:rPr>
  </w:style>
  <w:style w:type="character" w:customStyle="1" w:styleId="BalloonTextChar">
    <w:name w:val="Balloon Text Char"/>
    <w:link w:val="BalloonText"/>
    <w:uiPriority w:val="99"/>
    <w:semiHidden/>
    <w:rsid w:val="00CE7DC9"/>
    <w:rPr>
      <w:rFonts w:ascii="Tahoma" w:eastAsia="Calibri" w:hAnsi="Tahoma"/>
      <w:sz w:val="16"/>
      <w:szCs w:val="16"/>
    </w:rPr>
  </w:style>
  <w:style w:type="paragraph" w:styleId="NoSpacing">
    <w:name w:val="No Spacing"/>
    <w:uiPriority w:val="1"/>
    <w:qFormat/>
    <w:rsid w:val="00CE7DC9"/>
    <w:pPr>
      <w:ind w:firstLine="360"/>
    </w:pPr>
    <w:rPr>
      <w:rFonts w:ascii="Book Antiqua" w:eastAsia="Calibri" w:hAnsi="Book Antiqua"/>
      <w:sz w:val="22"/>
      <w:szCs w:val="22"/>
    </w:rPr>
  </w:style>
  <w:style w:type="paragraph" w:customStyle="1" w:styleId="ProcHdr">
    <w:name w:val="ProcHdr"/>
    <w:basedOn w:val="Heading1"/>
    <w:link w:val="ProcHdrChar"/>
    <w:qFormat/>
    <w:rsid w:val="008D0FAE"/>
    <w:pPr>
      <w:keepNext/>
      <w:spacing w:before="240" w:after="60" w:line="276" w:lineRule="auto"/>
      <w:jc w:val="left"/>
    </w:pPr>
    <w:rPr>
      <w:rFonts w:eastAsiaTheme="majorEastAsia" w:cstheme="majorBidi"/>
      <w:bCs/>
      <w:caps w:val="0"/>
      <w:kern w:val="32"/>
      <w:sz w:val="32"/>
      <w:szCs w:val="32"/>
    </w:rPr>
  </w:style>
  <w:style w:type="character" w:customStyle="1" w:styleId="ProcHdrChar">
    <w:name w:val="ProcHdr Char"/>
    <w:basedOn w:val="DefaultParagraphFont"/>
    <w:link w:val="ProcHdr"/>
    <w:rsid w:val="008D0FAE"/>
    <w:rPr>
      <w:rFonts w:ascii="Arial" w:eastAsiaTheme="majorEastAsia" w:hAnsi="Arial" w:cstheme="majorBidi"/>
      <w:b/>
      <w:bCs/>
      <w:kern w:val="32"/>
      <w:sz w:val="32"/>
      <w:szCs w:val="32"/>
    </w:rPr>
  </w:style>
  <w:style w:type="paragraph" w:styleId="EnvelopeAddress">
    <w:name w:val="envelope address"/>
    <w:basedOn w:val="Normal"/>
    <w:uiPriority w:val="99"/>
    <w:semiHidden/>
    <w:unhideWhenUsed/>
    <w:rsid w:val="0017188C"/>
    <w:pPr>
      <w:framePr w:w="7920" w:h="1980" w:hRule="exact" w:hSpace="180" w:wrap="auto" w:hAnchor="page" w:xAlign="center" w:yAlign="bottom"/>
      <w:ind w:left="2880"/>
    </w:pPr>
    <w:rPr>
      <w:rFonts w:eastAsiaTheme="majorEastAsia" w:cstheme="majorBidi"/>
      <w:sz w:val="24"/>
      <w:szCs w:val="24"/>
    </w:rPr>
  </w:style>
  <w:style w:type="paragraph" w:customStyle="1" w:styleId="paragraph">
    <w:name w:val="paragraph"/>
    <w:basedOn w:val="Normal"/>
    <w:rsid w:val="003C0AD8"/>
    <w:pPr>
      <w:spacing w:before="100" w:beforeAutospacing="1" w:after="100" w:afterAutospacing="1"/>
    </w:pPr>
    <w:rPr>
      <w:rFonts w:ascii="Times New Roman" w:hAnsi="Times New Roman"/>
      <w:sz w:val="24"/>
      <w:szCs w:val="24"/>
    </w:rPr>
  </w:style>
  <w:style w:type="character" w:customStyle="1" w:styleId="normaltextrun">
    <w:name w:val="normaltextrun"/>
    <w:basedOn w:val="DefaultParagraphFont"/>
    <w:rsid w:val="003C0AD8"/>
  </w:style>
  <w:style w:type="character" w:customStyle="1" w:styleId="eop">
    <w:name w:val="eop"/>
    <w:basedOn w:val="DefaultParagraphFont"/>
    <w:rsid w:val="003C0AD8"/>
  </w:style>
  <w:style w:type="paragraph" w:styleId="NormalWeb">
    <w:name w:val="Normal (Web)"/>
    <w:basedOn w:val="Normal"/>
    <w:uiPriority w:val="99"/>
    <w:semiHidden/>
    <w:unhideWhenUsed/>
    <w:rsid w:val="00FE134D"/>
    <w:rPr>
      <w:rFonts w:ascii="Times New Roman" w:hAnsi="Times New Roman"/>
      <w:sz w:val="24"/>
      <w:szCs w:val="24"/>
    </w:rPr>
  </w:style>
  <w:style w:type="paragraph" w:styleId="Revision">
    <w:name w:val="Revision"/>
    <w:hidden/>
    <w:uiPriority w:val="99"/>
    <w:semiHidden/>
    <w:rsid w:val="000A634D"/>
  </w:style>
  <w:style w:type="character" w:styleId="UnresolvedMention">
    <w:name w:val="Unresolved Mention"/>
    <w:basedOn w:val="DefaultParagraphFont"/>
    <w:uiPriority w:val="99"/>
    <w:semiHidden/>
    <w:unhideWhenUsed/>
    <w:rsid w:val="00AD706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892643">
      <w:bodyDiv w:val="1"/>
      <w:marLeft w:val="0"/>
      <w:marRight w:val="0"/>
      <w:marTop w:val="0"/>
      <w:marBottom w:val="0"/>
      <w:divBdr>
        <w:top w:val="none" w:sz="0" w:space="0" w:color="auto"/>
        <w:left w:val="none" w:sz="0" w:space="0" w:color="auto"/>
        <w:bottom w:val="none" w:sz="0" w:space="0" w:color="auto"/>
        <w:right w:val="none" w:sz="0" w:space="0" w:color="auto"/>
      </w:divBdr>
    </w:div>
    <w:div w:id="90587308">
      <w:bodyDiv w:val="1"/>
      <w:marLeft w:val="0"/>
      <w:marRight w:val="0"/>
      <w:marTop w:val="0"/>
      <w:marBottom w:val="0"/>
      <w:divBdr>
        <w:top w:val="none" w:sz="0" w:space="0" w:color="auto"/>
        <w:left w:val="none" w:sz="0" w:space="0" w:color="auto"/>
        <w:bottom w:val="none" w:sz="0" w:space="0" w:color="auto"/>
        <w:right w:val="none" w:sz="0" w:space="0" w:color="auto"/>
      </w:divBdr>
      <w:divsChild>
        <w:div w:id="986981580">
          <w:marLeft w:val="288"/>
          <w:marRight w:val="0"/>
          <w:marTop w:val="115"/>
          <w:marBottom w:val="0"/>
          <w:divBdr>
            <w:top w:val="none" w:sz="0" w:space="0" w:color="auto"/>
            <w:left w:val="none" w:sz="0" w:space="0" w:color="auto"/>
            <w:bottom w:val="none" w:sz="0" w:space="0" w:color="auto"/>
            <w:right w:val="none" w:sz="0" w:space="0" w:color="auto"/>
          </w:divBdr>
        </w:div>
        <w:div w:id="324407090">
          <w:marLeft w:val="288"/>
          <w:marRight w:val="0"/>
          <w:marTop w:val="115"/>
          <w:marBottom w:val="0"/>
          <w:divBdr>
            <w:top w:val="none" w:sz="0" w:space="0" w:color="auto"/>
            <w:left w:val="none" w:sz="0" w:space="0" w:color="auto"/>
            <w:bottom w:val="none" w:sz="0" w:space="0" w:color="auto"/>
            <w:right w:val="none" w:sz="0" w:space="0" w:color="auto"/>
          </w:divBdr>
        </w:div>
        <w:div w:id="2147038947">
          <w:marLeft w:val="288"/>
          <w:marRight w:val="0"/>
          <w:marTop w:val="115"/>
          <w:marBottom w:val="0"/>
          <w:divBdr>
            <w:top w:val="none" w:sz="0" w:space="0" w:color="auto"/>
            <w:left w:val="none" w:sz="0" w:space="0" w:color="auto"/>
            <w:bottom w:val="none" w:sz="0" w:space="0" w:color="auto"/>
            <w:right w:val="none" w:sz="0" w:space="0" w:color="auto"/>
          </w:divBdr>
        </w:div>
        <w:div w:id="1725908944">
          <w:marLeft w:val="288"/>
          <w:marRight w:val="0"/>
          <w:marTop w:val="115"/>
          <w:marBottom w:val="0"/>
          <w:divBdr>
            <w:top w:val="none" w:sz="0" w:space="0" w:color="auto"/>
            <w:left w:val="none" w:sz="0" w:space="0" w:color="auto"/>
            <w:bottom w:val="none" w:sz="0" w:space="0" w:color="auto"/>
            <w:right w:val="none" w:sz="0" w:space="0" w:color="auto"/>
          </w:divBdr>
        </w:div>
      </w:divsChild>
    </w:div>
    <w:div w:id="102191101">
      <w:bodyDiv w:val="1"/>
      <w:marLeft w:val="0"/>
      <w:marRight w:val="0"/>
      <w:marTop w:val="0"/>
      <w:marBottom w:val="0"/>
      <w:divBdr>
        <w:top w:val="none" w:sz="0" w:space="0" w:color="auto"/>
        <w:left w:val="none" w:sz="0" w:space="0" w:color="auto"/>
        <w:bottom w:val="none" w:sz="0" w:space="0" w:color="auto"/>
        <w:right w:val="none" w:sz="0" w:space="0" w:color="auto"/>
      </w:divBdr>
      <w:divsChild>
        <w:div w:id="1665549324">
          <w:marLeft w:val="288"/>
          <w:marRight w:val="0"/>
          <w:marTop w:val="115"/>
          <w:marBottom w:val="0"/>
          <w:divBdr>
            <w:top w:val="none" w:sz="0" w:space="0" w:color="auto"/>
            <w:left w:val="none" w:sz="0" w:space="0" w:color="auto"/>
            <w:bottom w:val="none" w:sz="0" w:space="0" w:color="auto"/>
            <w:right w:val="none" w:sz="0" w:space="0" w:color="auto"/>
          </w:divBdr>
        </w:div>
        <w:div w:id="427122674">
          <w:marLeft w:val="288"/>
          <w:marRight w:val="0"/>
          <w:marTop w:val="115"/>
          <w:marBottom w:val="0"/>
          <w:divBdr>
            <w:top w:val="none" w:sz="0" w:space="0" w:color="auto"/>
            <w:left w:val="none" w:sz="0" w:space="0" w:color="auto"/>
            <w:bottom w:val="none" w:sz="0" w:space="0" w:color="auto"/>
            <w:right w:val="none" w:sz="0" w:space="0" w:color="auto"/>
          </w:divBdr>
        </w:div>
        <w:div w:id="405688296">
          <w:marLeft w:val="288"/>
          <w:marRight w:val="0"/>
          <w:marTop w:val="115"/>
          <w:marBottom w:val="0"/>
          <w:divBdr>
            <w:top w:val="none" w:sz="0" w:space="0" w:color="auto"/>
            <w:left w:val="none" w:sz="0" w:space="0" w:color="auto"/>
            <w:bottom w:val="none" w:sz="0" w:space="0" w:color="auto"/>
            <w:right w:val="none" w:sz="0" w:space="0" w:color="auto"/>
          </w:divBdr>
        </w:div>
      </w:divsChild>
    </w:div>
    <w:div w:id="340009485">
      <w:bodyDiv w:val="1"/>
      <w:marLeft w:val="0"/>
      <w:marRight w:val="0"/>
      <w:marTop w:val="0"/>
      <w:marBottom w:val="0"/>
      <w:divBdr>
        <w:top w:val="none" w:sz="0" w:space="0" w:color="auto"/>
        <w:left w:val="none" w:sz="0" w:space="0" w:color="auto"/>
        <w:bottom w:val="none" w:sz="0" w:space="0" w:color="auto"/>
        <w:right w:val="none" w:sz="0" w:space="0" w:color="auto"/>
      </w:divBdr>
    </w:div>
    <w:div w:id="508251591">
      <w:bodyDiv w:val="1"/>
      <w:marLeft w:val="0"/>
      <w:marRight w:val="0"/>
      <w:marTop w:val="0"/>
      <w:marBottom w:val="0"/>
      <w:divBdr>
        <w:top w:val="none" w:sz="0" w:space="0" w:color="auto"/>
        <w:left w:val="none" w:sz="0" w:space="0" w:color="auto"/>
        <w:bottom w:val="none" w:sz="0" w:space="0" w:color="auto"/>
        <w:right w:val="none" w:sz="0" w:space="0" w:color="auto"/>
      </w:divBdr>
    </w:div>
    <w:div w:id="545259629">
      <w:bodyDiv w:val="1"/>
      <w:marLeft w:val="0"/>
      <w:marRight w:val="0"/>
      <w:marTop w:val="0"/>
      <w:marBottom w:val="0"/>
      <w:divBdr>
        <w:top w:val="none" w:sz="0" w:space="0" w:color="auto"/>
        <w:left w:val="none" w:sz="0" w:space="0" w:color="auto"/>
        <w:bottom w:val="none" w:sz="0" w:space="0" w:color="auto"/>
        <w:right w:val="none" w:sz="0" w:space="0" w:color="auto"/>
      </w:divBdr>
    </w:div>
    <w:div w:id="739400516">
      <w:bodyDiv w:val="1"/>
      <w:marLeft w:val="0"/>
      <w:marRight w:val="0"/>
      <w:marTop w:val="0"/>
      <w:marBottom w:val="0"/>
      <w:divBdr>
        <w:top w:val="none" w:sz="0" w:space="0" w:color="auto"/>
        <w:left w:val="none" w:sz="0" w:space="0" w:color="auto"/>
        <w:bottom w:val="none" w:sz="0" w:space="0" w:color="auto"/>
        <w:right w:val="none" w:sz="0" w:space="0" w:color="auto"/>
      </w:divBdr>
    </w:div>
    <w:div w:id="857307088">
      <w:bodyDiv w:val="1"/>
      <w:marLeft w:val="0"/>
      <w:marRight w:val="0"/>
      <w:marTop w:val="0"/>
      <w:marBottom w:val="0"/>
      <w:divBdr>
        <w:top w:val="none" w:sz="0" w:space="0" w:color="auto"/>
        <w:left w:val="none" w:sz="0" w:space="0" w:color="auto"/>
        <w:bottom w:val="none" w:sz="0" w:space="0" w:color="auto"/>
        <w:right w:val="none" w:sz="0" w:space="0" w:color="auto"/>
      </w:divBdr>
    </w:div>
    <w:div w:id="1283077077">
      <w:bodyDiv w:val="1"/>
      <w:marLeft w:val="0"/>
      <w:marRight w:val="0"/>
      <w:marTop w:val="0"/>
      <w:marBottom w:val="0"/>
      <w:divBdr>
        <w:top w:val="none" w:sz="0" w:space="0" w:color="auto"/>
        <w:left w:val="none" w:sz="0" w:space="0" w:color="auto"/>
        <w:bottom w:val="none" w:sz="0" w:space="0" w:color="auto"/>
        <w:right w:val="none" w:sz="0" w:space="0" w:color="auto"/>
      </w:divBdr>
    </w:div>
    <w:div w:id="1854345567">
      <w:bodyDiv w:val="1"/>
      <w:marLeft w:val="0"/>
      <w:marRight w:val="0"/>
      <w:marTop w:val="0"/>
      <w:marBottom w:val="0"/>
      <w:divBdr>
        <w:top w:val="none" w:sz="0" w:space="0" w:color="auto"/>
        <w:left w:val="none" w:sz="0" w:space="0" w:color="auto"/>
        <w:bottom w:val="none" w:sz="0" w:space="0" w:color="auto"/>
        <w:right w:val="none" w:sz="0" w:space="0" w:color="auto"/>
      </w:divBdr>
      <w:divsChild>
        <w:div w:id="1481385595">
          <w:marLeft w:val="288"/>
          <w:marRight w:val="0"/>
          <w:marTop w:val="115"/>
          <w:marBottom w:val="0"/>
          <w:divBdr>
            <w:top w:val="none" w:sz="0" w:space="0" w:color="auto"/>
            <w:left w:val="none" w:sz="0" w:space="0" w:color="auto"/>
            <w:bottom w:val="none" w:sz="0" w:space="0" w:color="auto"/>
            <w:right w:val="none" w:sz="0" w:space="0" w:color="auto"/>
          </w:divBdr>
        </w:div>
        <w:div w:id="1023629455">
          <w:marLeft w:val="288"/>
          <w:marRight w:val="0"/>
          <w:marTop w:val="115"/>
          <w:marBottom w:val="0"/>
          <w:divBdr>
            <w:top w:val="none" w:sz="0" w:space="0" w:color="auto"/>
            <w:left w:val="none" w:sz="0" w:space="0" w:color="auto"/>
            <w:bottom w:val="none" w:sz="0" w:space="0" w:color="auto"/>
            <w:right w:val="none" w:sz="0" w:space="0" w:color="auto"/>
          </w:divBdr>
        </w:div>
        <w:div w:id="604115830">
          <w:marLeft w:val="288"/>
          <w:marRight w:val="0"/>
          <w:marTop w:val="115"/>
          <w:marBottom w:val="0"/>
          <w:divBdr>
            <w:top w:val="none" w:sz="0" w:space="0" w:color="auto"/>
            <w:left w:val="none" w:sz="0" w:space="0" w:color="auto"/>
            <w:bottom w:val="none" w:sz="0" w:space="0" w:color="auto"/>
            <w:right w:val="none" w:sz="0" w:space="0" w:color="auto"/>
          </w:divBdr>
        </w:div>
        <w:div w:id="627781077">
          <w:marLeft w:val="288"/>
          <w:marRight w:val="0"/>
          <w:marTop w:val="115"/>
          <w:marBottom w:val="0"/>
          <w:divBdr>
            <w:top w:val="none" w:sz="0" w:space="0" w:color="auto"/>
            <w:left w:val="none" w:sz="0" w:space="0" w:color="auto"/>
            <w:bottom w:val="none" w:sz="0" w:space="0" w:color="auto"/>
            <w:right w:val="none" w:sz="0" w:space="0" w:color="auto"/>
          </w:divBdr>
        </w:div>
        <w:div w:id="1606645281">
          <w:marLeft w:val="288"/>
          <w:marRight w:val="0"/>
          <w:marTop w:val="115"/>
          <w:marBottom w:val="0"/>
          <w:divBdr>
            <w:top w:val="none" w:sz="0" w:space="0" w:color="auto"/>
            <w:left w:val="none" w:sz="0" w:space="0" w:color="auto"/>
            <w:bottom w:val="none" w:sz="0" w:space="0" w:color="auto"/>
            <w:right w:val="none" w:sz="0" w:space="0" w:color="auto"/>
          </w:divBdr>
        </w:div>
        <w:div w:id="1090471976">
          <w:marLeft w:val="288"/>
          <w:marRight w:val="0"/>
          <w:marTop w:val="115"/>
          <w:marBottom w:val="0"/>
          <w:divBdr>
            <w:top w:val="none" w:sz="0" w:space="0" w:color="auto"/>
            <w:left w:val="none" w:sz="0" w:space="0" w:color="auto"/>
            <w:bottom w:val="none" w:sz="0" w:space="0" w:color="auto"/>
            <w:right w:val="none" w:sz="0" w:space="0" w:color="auto"/>
          </w:divBdr>
        </w:div>
        <w:div w:id="2141681482">
          <w:marLeft w:val="288"/>
          <w:marRight w:val="0"/>
          <w:marTop w:val="115"/>
          <w:marBottom w:val="0"/>
          <w:divBdr>
            <w:top w:val="none" w:sz="0" w:space="0" w:color="auto"/>
            <w:left w:val="none" w:sz="0" w:space="0" w:color="auto"/>
            <w:bottom w:val="none" w:sz="0" w:space="0" w:color="auto"/>
            <w:right w:val="none" w:sz="0" w:space="0" w:color="auto"/>
          </w:divBdr>
        </w:div>
      </w:divsChild>
    </w:div>
    <w:div w:id="1964994773">
      <w:bodyDiv w:val="1"/>
      <w:marLeft w:val="0"/>
      <w:marRight w:val="0"/>
      <w:marTop w:val="0"/>
      <w:marBottom w:val="0"/>
      <w:divBdr>
        <w:top w:val="none" w:sz="0" w:space="0" w:color="auto"/>
        <w:left w:val="none" w:sz="0" w:space="0" w:color="auto"/>
        <w:bottom w:val="none" w:sz="0" w:space="0" w:color="auto"/>
        <w:right w:val="none" w:sz="0" w:space="0" w:color="auto"/>
      </w:divBdr>
    </w:div>
    <w:div w:id="2123838889">
      <w:bodyDiv w:val="1"/>
      <w:marLeft w:val="0"/>
      <w:marRight w:val="0"/>
      <w:marTop w:val="0"/>
      <w:marBottom w:val="0"/>
      <w:divBdr>
        <w:top w:val="none" w:sz="0" w:space="0" w:color="auto"/>
        <w:left w:val="none" w:sz="0" w:space="0" w:color="auto"/>
        <w:bottom w:val="none" w:sz="0" w:space="0" w:color="auto"/>
        <w:right w:val="none" w:sz="0" w:space="0" w:color="auto"/>
      </w:divBdr>
      <w:divsChild>
        <w:div w:id="223027233">
          <w:marLeft w:val="360"/>
          <w:marRight w:val="0"/>
          <w:marTop w:val="0"/>
          <w:marBottom w:val="0"/>
          <w:divBdr>
            <w:top w:val="none" w:sz="0" w:space="0" w:color="auto"/>
            <w:left w:val="none" w:sz="0" w:space="0" w:color="auto"/>
            <w:bottom w:val="none" w:sz="0" w:space="0" w:color="auto"/>
            <w:right w:val="none" w:sz="0" w:space="0" w:color="auto"/>
          </w:divBdr>
        </w:div>
        <w:div w:id="879320896">
          <w:marLeft w:val="1080"/>
          <w:marRight w:val="0"/>
          <w:marTop w:val="0"/>
          <w:marBottom w:val="0"/>
          <w:divBdr>
            <w:top w:val="none" w:sz="0" w:space="0" w:color="auto"/>
            <w:left w:val="none" w:sz="0" w:space="0" w:color="auto"/>
            <w:bottom w:val="none" w:sz="0" w:space="0" w:color="auto"/>
            <w:right w:val="none" w:sz="0" w:space="0" w:color="auto"/>
          </w:divBdr>
        </w:div>
        <w:div w:id="128939379">
          <w:marLeft w:val="1080"/>
          <w:marRight w:val="0"/>
          <w:marTop w:val="0"/>
          <w:marBottom w:val="0"/>
          <w:divBdr>
            <w:top w:val="none" w:sz="0" w:space="0" w:color="auto"/>
            <w:left w:val="none" w:sz="0" w:space="0" w:color="auto"/>
            <w:bottom w:val="none" w:sz="0" w:space="0" w:color="auto"/>
            <w:right w:val="none" w:sz="0" w:space="0" w:color="auto"/>
          </w:divBdr>
        </w:div>
        <w:div w:id="662049728">
          <w:marLeft w:val="1080"/>
          <w:marRight w:val="0"/>
          <w:marTop w:val="0"/>
          <w:marBottom w:val="0"/>
          <w:divBdr>
            <w:top w:val="none" w:sz="0" w:space="0" w:color="auto"/>
            <w:left w:val="none" w:sz="0" w:space="0" w:color="auto"/>
            <w:bottom w:val="none" w:sz="0" w:space="0" w:color="auto"/>
            <w:right w:val="none" w:sz="0" w:space="0" w:color="auto"/>
          </w:divBdr>
        </w:div>
        <w:div w:id="1151022205">
          <w:marLeft w:val="360"/>
          <w:marRight w:val="0"/>
          <w:marTop w:val="0"/>
          <w:marBottom w:val="0"/>
          <w:divBdr>
            <w:top w:val="none" w:sz="0" w:space="0" w:color="auto"/>
            <w:left w:val="none" w:sz="0" w:space="0" w:color="auto"/>
            <w:bottom w:val="none" w:sz="0" w:space="0" w:color="auto"/>
            <w:right w:val="none" w:sz="0" w:space="0" w:color="auto"/>
          </w:divBdr>
        </w:div>
        <w:div w:id="1833643052">
          <w:marLeft w:val="1080"/>
          <w:marRight w:val="0"/>
          <w:marTop w:val="0"/>
          <w:marBottom w:val="0"/>
          <w:divBdr>
            <w:top w:val="none" w:sz="0" w:space="0" w:color="auto"/>
            <w:left w:val="none" w:sz="0" w:space="0" w:color="auto"/>
            <w:bottom w:val="none" w:sz="0" w:space="0" w:color="auto"/>
            <w:right w:val="none" w:sz="0" w:space="0" w:color="auto"/>
          </w:divBdr>
        </w:div>
        <w:div w:id="1433284591">
          <w:marLeft w:val="1080"/>
          <w:marRight w:val="0"/>
          <w:marTop w:val="0"/>
          <w:marBottom w:val="0"/>
          <w:divBdr>
            <w:top w:val="none" w:sz="0" w:space="0" w:color="auto"/>
            <w:left w:val="none" w:sz="0" w:space="0" w:color="auto"/>
            <w:bottom w:val="none" w:sz="0" w:space="0" w:color="auto"/>
            <w:right w:val="none" w:sz="0" w:space="0" w:color="auto"/>
          </w:divBdr>
        </w:div>
        <w:div w:id="548422430">
          <w:marLeft w:val="108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hyperlink" Target="https://www.aphis.usda.gov/livestock-poultry-disease/equine/arbovirus-dashboar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47522ED054DBD41B5F32E4E88878811" ma:contentTypeVersion="4" ma:contentTypeDescription="Create a new document." ma:contentTypeScope="" ma:versionID="97416e15e88fead85594023f957566fe">
  <xsd:schema xmlns:xsd="http://www.w3.org/2001/XMLSchema" xmlns:xs="http://www.w3.org/2001/XMLSchema" xmlns:p="http://schemas.microsoft.com/office/2006/metadata/properties" xmlns:ns2="c006010d-34b5-4c68-93e8-700941787faf" targetNamespace="http://schemas.microsoft.com/office/2006/metadata/properties" ma:root="true" ma:fieldsID="918e661b83146e5f2310043c7b698bb5" ns2:_="">
    <xsd:import namespace="c006010d-34b5-4c68-93e8-700941787fa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006010d-34b5-4c68-93e8-700941787f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C823B80-7C22-4666-A104-5B6D7079BDC0}">
  <ds:schemaRefs>
    <ds:schemaRef ds:uri="http://schemas.microsoft.com/sharepoint/v3/contenttype/forms"/>
  </ds:schemaRefs>
</ds:datastoreItem>
</file>

<file path=customXml/itemProps2.xml><?xml version="1.0" encoding="utf-8"?>
<ds:datastoreItem xmlns:ds="http://schemas.openxmlformats.org/officeDocument/2006/customXml" ds:itemID="{12D20129-6BF9-41F5-A4E8-443F36D599E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EDC46C13-C849-4879-A5A9-CE5C8BF12E2A}">
  <ds:schemaRefs>
    <ds:schemaRef ds:uri="http://schemas.openxmlformats.org/officeDocument/2006/bibliography"/>
  </ds:schemaRefs>
</ds:datastoreItem>
</file>

<file path=customXml/itemProps4.xml><?xml version="1.0" encoding="utf-8"?>
<ds:datastoreItem xmlns:ds="http://schemas.openxmlformats.org/officeDocument/2006/customXml" ds:itemID="{4E812794-E9A9-494B-B365-91581A8977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006010d-34b5-4c68-93e8-700941787fa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1475</Words>
  <Characters>9260</Characters>
  <Application>Microsoft Office Word</Application>
  <DocSecurity>0</DocSecurity>
  <Lines>138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Richey</dc:creator>
  <cp:keywords/>
  <dc:description/>
  <cp:lastModifiedBy>USAHA01</cp:lastModifiedBy>
  <cp:revision>3</cp:revision>
  <cp:lastPrinted>2025-11-03T21:24:00Z</cp:lastPrinted>
  <dcterms:created xsi:type="dcterms:W3CDTF">2025-11-03T20:27:00Z</dcterms:created>
  <dcterms:modified xsi:type="dcterms:W3CDTF">2025-11-03T21:27:00Z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0x010100D47522ED054DBD41B5F32E4E88878811</vt:lpwstr>
  </property>
  <property fmtid="{D5CDD505-2E9C-101B-9397-08002B2CF9AE}" pid="3" name="GrammarlyDocumentId">
    <vt:lpwstr>35c7c87710f12fda08b5a6b3ca1d6919423627578be001762b8e214b4da54e86</vt:lpwstr>
  </property>
</Properties>
</file>