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460C3A" w14:textId="7FDF8A72" w:rsidR="00EC6FC5" w:rsidRPr="00EC6FC5" w:rsidRDefault="00EC6FC5" w:rsidP="00B960C3">
      <w:pPr>
        <w:jc w:val="center"/>
        <w:rPr>
          <w:b/>
        </w:rPr>
      </w:pPr>
      <w:r w:rsidRPr="00EC6FC5">
        <w:rPr>
          <w:b/>
        </w:rPr>
        <w:t>Committee on</w:t>
      </w:r>
      <w:r w:rsidR="002E697E">
        <w:rPr>
          <w:b/>
        </w:rPr>
        <w:t xml:space="preserve"> Equine</w:t>
      </w:r>
      <w:r w:rsidR="00B960C3">
        <w:rPr>
          <w:b/>
        </w:rPr>
        <w:t xml:space="preserve"> Meeting Summary </w:t>
      </w:r>
    </w:p>
    <w:p w14:paraId="7E98DE16" w14:textId="7FC54472" w:rsidR="00EC6FC5" w:rsidRPr="00B960C3" w:rsidRDefault="002E697E" w:rsidP="00B960C3">
      <w:pPr>
        <w:jc w:val="center"/>
        <w:rPr>
          <w:bCs/>
        </w:rPr>
      </w:pPr>
      <w:r w:rsidRPr="00B960C3">
        <w:rPr>
          <w:bCs/>
        </w:rPr>
        <w:t xml:space="preserve">Monday, </w:t>
      </w:r>
      <w:r w:rsidR="003C020F">
        <w:rPr>
          <w:bCs/>
        </w:rPr>
        <w:t>November 3, 2025</w:t>
      </w:r>
    </w:p>
    <w:p w14:paraId="498CF39E" w14:textId="2C223FC7" w:rsidR="00780AAB" w:rsidRDefault="00780AAB" w:rsidP="00EC6FC5">
      <w:pPr>
        <w:jc w:val="center"/>
      </w:pPr>
      <w:r>
        <w:t>Chair:</w:t>
      </w:r>
      <w:r w:rsidR="002E697E">
        <w:t xml:space="preserve"> Dr. </w:t>
      </w:r>
      <w:r w:rsidR="00D2341A">
        <w:t>Joe Fisch</w:t>
      </w:r>
    </w:p>
    <w:p w14:paraId="3F6AD787" w14:textId="3600F4AE" w:rsidR="00780AAB" w:rsidRDefault="00780AAB" w:rsidP="00EC6FC5">
      <w:pPr>
        <w:jc w:val="center"/>
      </w:pPr>
      <w:r>
        <w:t xml:space="preserve">Vice Chair: </w:t>
      </w:r>
      <w:r w:rsidR="002E697E">
        <w:t xml:space="preserve">Dr. </w:t>
      </w:r>
      <w:r w:rsidR="00D2341A">
        <w:t>Michael Odian</w:t>
      </w:r>
      <w:r w:rsidR="002E697E">
        <w:t xml:space="preserve"> </w:t>
      </w:r>
    </w:p>
    <w:p w14:paraId="04315979" w14:textId="77777777" w:rsidR="003C020F" w:rsidRDefault="003C020F" w:rsidP="003C020F">
      <w:pPr>
        <w:jc w:val="cente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99"/>
        <w:gridCol w:w="4596"/>
        <w:gridCol w:w="3155"/>
      </w:tblGrid>
      <w:tr w:rsidR="003C020F" w:rsidRPr="00EC6FC5" w14:paraId="245BA280" w14:textId="77777777" w:rsidTr="00CF5065">
        <w:trPr>
          <w:jc w:val="center"/>
        </w:trPr>
        <w:tc>
          <w:tcPr>
            <w:tcW w:w="1599" w:type="dxa"/>
          </w:tcPr>
          <w:p w14:paraId="7442287B" w14:textId="77777777" w:rsidR="003C020F" w:rsidRPr="00EC6FC5" w:rsidRDefault="003C020F" w:rsidP="00CF5065">
            <w:pPr>
              <w:rPr>
                <w:b/>
              </w:rPr>
            </w:pPr>
            <w:r w:rsidRPr="00EC6FC5">
              <w:rPr>
                <w:b/>
              </w:rPr>
              <w:t>Time</w:t>
            </w:r>
          </w:p>
        </w:tc>
        <w:tc>
          <w:tcPr>
            <w:tcW w:w="4596" w:type="dxa"/>
          </w:tcPr>
          <w:p w14:paraId="2917F95C" w14:textId="77777777" w:rsidR="003C020F" w:rsidRPr="00EC6FC5" w:rsidRDefault="003C020F" w:rsidP="00CF5065">
            <w:pPr>
              <w:rPr>
                <w:b/>
              </w:rPr>
            </w:pPr>
            <w:r w:rsidRPr="00EC6FC5">
              <w:rPr>
                <w:b/>
              </w:rPr>
              <w:t>Topic/Title</w:t>
            </w:r>
          </w:p>
        </w:tc>
        <w:tc>
          <w:tcPr>
            <w:tcW w:w="3155" w:type="dxa"/>
          </w:tcPr>
          <w:p w14:paraId="17C60FDF" w14:textId="77777777" w:rsidR="003C020F" w:rsidRPr="00EC6FC5" w:rsidRDefault="003C020F" w:rsidP="00CF5065">
            <w:pPr>
              <w:rPr>
                <w:b/>
              </w:rPr>
            </w:pPr>
            <w:r w:rsidRPr="00EC6FC5">
              <w:rPr>
                <w:b/>
              </w:rPr>
              <w:t>Presenter(s)</w:t>
            </w:r>
          </w:p>
        </w:tc>
      </w:tr>
      <w:tr w:rsidR="003C020F" w:rsidRPr="00EC6FC5" w14:paraId="2D5E5983" w14:textId="77777777" w:rsidTr="00CF5065">
        <w:trPr>
          <w:trHeight w:val="332"/>
          <w:jc w:val="center"/>
        </w:trPr>
        <w:tc>
          <w:tcPr>
            <w:tcW w:w="1599" w:type="dxa"/>
          </w:tcPr>
          <w:p w14:paraId="6A75BCB9" w14:textId="77777777" w:rsidR="003C020F" w:rsidRPr="00EC6FC5" w:rsidRDefault="003C020F" w:rsidP="00CF5065">
            <w:r>
              <w:t>10:15 am</w:t>
            </w:r>
          </w:p>
        </w:tc>
        <w:tc>
          <w:tcPr>
            <w:tcW w:w="4596" w:type="dxa"/>
          </w:tcPr>
          <w:p w14:paraId="41D5F633" w14:textId="77777777" w:rsidR="003C020F" w:rsidRPr="00EC6FC5" w:rsidRDefault="003C020F" w:rsidP="00CF5065">
            <w:pPr>
              <w:jc w:val="center"/>
            </w:pPr>
            <w:r>
              <w:t>Welcome and Introductions</w:t>
            </w:r>
          </w:p>
        </w:tc>
        <w:tc>
          <w:tcPr>
            <w:tcW w:w="3155" w:type="dxa"/>
          </w:tcPr>
          <w:p w14:paraId="4852D912" w14:textId="77777777" w:rsidR="003C020F" w:rsidRPr="00EC6FC5" w:rsidRDefault="003C020F" w:rsidP="00CF5065">
            <w:r>
              <w:t>Dr. Joe Fisch</w:t>
            </w:r>
          </w:p>
        </w:tc>
      </w:tr>
      <w:tr w:rsidR="003C020F" w:rsidRPr="00EC6FC5" w14:paraId="60378038" w14:textId="77777777" w:rsidTr="00CF5065">
        <w:trPr>
          <w:trHeight w:val="458"/>
          <w:jc w:val="center"/>
        </w:trPr>
        <w:tc>
          <w:tcPr>
            <w:tcW w:w="1599" w:type="dxa"/>
          </w:tcPr>
          <w:p w14:paraId="179CC57E" w14:textId="77777777" w:rsidR="003C020F" w:rsidRPr="00EC6FC5" w:rsidRDefault="003C020F" w:rsidP="00CF5065">
            <w:r>
              <w:t>10:20-10:50am</w:t>
            </w:r>
          </w:p>
        </w:tc>
        <w:tc>
          <w:tcPr>
            <w:tcW w:w="4596" w:type="dxa"/>
          </w:tcPr>
          <w:p w14:paraId="74513083" w14:textId="77777777" w:rsidR="003C020F" w:rsidRPr="00EC6FC5" w:rsidRDefault="003C020F" w:rsidP="00CF5065">
            <w:pPr>
              <w:jc w:val="center"/>
            </w:pPr>
            <w:bookmarkStart w:id="0" w:name="_Hlk212105794"/>
            <w:r w:rsidRPr="00422924">
              <w:t xml:space="preserve">Developing a </w:t>
            </w:r>
            <w:r>
              <w:t>N</w:t>
            </w:r>
            <w:r w:rsidRPr="00422924">
              <w:t>ational-</w:t>
            </w:r>
            <w:r>
              <w:t>L</w:t>
            </w:r>
            <w:r w:rsidRPr="00422924">
              <w:t xml:space="preserve">evel </w:t>
            </w:r>
            <w:r w:rsidRPr="00713E7E">
              <w:t>Equine Population Model for Disease Emergency Planning and Preparedness</w:t>
            </w:r>
            <w:bookmarkEnd w:id="0"/>
          </w:p>
        </w:tc>
        <w:tc>
          <w:tcPr>
            <w:tcW w:w="3155" w:type="dxa"/>
          </w:tcPr>
          <w:p w14:paraId="69BF0534" w14:textId="77777777" w:rsidR="003C020F" w:rsidRPr="00EC6FC5" w:rsidRDefault="003C020F" w:rsidP="00CF5065">
            <w:bookmarkStart w:id="1" w:name="_Hlk212105811"/>
            <w:r>
              <w:t xml:space="preserve">Dr. Sangeeta Rao &amp; </w:t>
            </w:r>
            <w:r w:rsidRPr="006B5661">
              <w:t xml:space="preserve">Dr. Jairo Palomares </w:t>
            </w:r>
            <w:bookmarkEnd w:id="1"/>
          </w:p>
        </w:tc>
      </w:tr>
      <w:tr w:rsidR="003C020F" w:rsidRPr="00EC6FC5" w14:paraId="3ACF7107" w14:textId="77777777" w:rsidTr="00CF5065">
        <w:trPr>
          <w:trHeight w:val="368"/>
          <w:jc w:val="center"/>
        </w:trPr>
        <w:tc>
          <w:tcPr>
            <w:tcW w:w="1599" w:type="dxa"/>
          </w:tcPr>
          <w:p w14:paraId="4C3EC680" w14:textId="77777777" w:rsidR="003C020F" w:rsidRPr="00EC6FC5" w:rsidRDefault="003C020F" w:rsidP="00CF5065">
            <w:r>
              <w:t>10:50-11:00am</w:t>
            </w:r>
          </w:p>
        </w:tc>
        <w:tc>
          <w:tcPr>
            <w:tcW w:w="4596" w:type="dxa"/>
          </w:tcPr>
          <w:p w14:paraId="1F51F465" w14:textId="77777777" w:rsidR="003C020F" w:rsidRPr="00EC6FC5" w:rsidRDefault="003C020F" w:rsidP="00CF5065">
            <w:pPr>
              <w:jc w:val="center"/>
            </w:pPr>
            <w:bookmarkStart w:id="2" w:name="_Hlk212105843"/>
            <w:r w:rsidRPr="00F049B7">
              <w:t>Sick Horse</w:t>
            </w:r>
            <w:r>
              <w:t xml:space="preserve"> Import</w:t>
            </w:r>
            <w:r w:rsidRPr="00F049B7">
              <w:t xml:space="preserve"> Update</w:t>
            </w:r>
            <w:bookmarkEnd w:id="2"/>
          </w:p>
        </w:tc>
        <w:tc>
          <w:tcPr>
            <w:tcW w:w="3155" w:type="dxa"/>
          </w:tcPr>
          <w:p w14:paraId="26197CA4" w14:textId="1CC906A6" w:rsidR="003C020F" w:rsidRPr="00EC6FC5" w:rsidRDefault="003C020F" w:rsidP="00CF5065">
            <w:r w:rsidRPr="00A758ED">
              <w:t xml:space="preserve">Dr. </w:t>
            </w:r>
            <w:r w:rsidR="003A2674">
              <w:t>Brianna Schur</w:t>
            </w:r>
          </w:p>
        </w:tc>
      </w:tr>
      <w:tr w:rsidR="003C020F" w:rsidRPr="00EC6FC5" w14:paraId="221242BA" w14:textId="77777777" w:rsidTr="00CF5065">
        <w:trPr>
          <w:trHeight w:val="440"/>
          <w:jc w:val="center"/>
        </w:trPr>
        <w:tc>
          <w:tcPr>
            <w:tcW w:w="1599" w:type="dxa"/>
          </w:tcPr>
          <w:p w14:paraId="432FDE07" w14:textId="7AC67511" w:rsidR="003C020F" w:rsidRPr="00EC6FC5" w:rsidRDefault="003C020F" w:rsidP="00CF5065">
            <w:r>
              <w:t>11:</w:t>
            </w:r>
            <w:r w:rsidR="003A2674">
              <w:t>0</w:t>
            </w:r>
            <w:r>
              <w:t>0-11:</w:t>
            </w:r>
            <w:r w:rsidR="003A2674">
              <w:t>25</w:t>
            </w:r>
            <w:r>
              <w:t>am</w:t>
            </w:r>
          </w:p>
        </w:tc>
        <w:tc>
          <w:tcPr>
            <w:tcW w:w="4596" w:type="dxa"/>
          </w:tcPr>
          <w:p w14:paraId="1E658D22" w14:textId="77777777" w:rsidR="003C020F" w:rsidRPr="00EC6FC5" w:rsidRDefault="003C020F" w:rsidP="00CF5065">
            <w:pPr>
              <w:jc w:val="center"/>
            </w:pPr>
            <w:r>
              <w:t>Contagious Equine Metritis Response, EIA Outbreak and EVA UM&amp;R Updates</w:t>
            </w:r>
          </w:p>
        </w:tc>
        <w:tc>
          <w:tcPr>
            <w:tcW w:w="3155" w:type="dxa"/>
          </w:tcPr>
          <w:p w14:paraId="38E41BFB" w14:textId="77777777" w:rsidR="003C020F" w:rsidRPr="00EC6FC5" w:rsidRDefault="003C020F" w:rsidP="00CF5065">
            <w:bookmarkStart w:id="3" w:name="_Hlk212105994"/>
            <w:r>
              <w:t>Dr. Angela Pelzel-McCluskey</w:t>
            </w:r>
            <w:bookmarkEnd w:id="3"/>
          </w:p>
        </w:tc>
      </w:tr>
      <w:tr w:rsidR="003C020F" w:rsidRPr="00EC6FC5" w14:paraId="7B86DF5B" w14:textId="77777777" w:rsidTr="00CF5065">
        <w:trPr>
          <w:trHeight w:val="440"/>
          <w:jc w:val="center"/>
        </w:trPr>
        <w:tc>
          <w:tcPr>
            <w:tcW w:w="1599" w:type="dxa"/>
          </w:tcPr>
          <w:p w14:paraId="3196AB8B" w14:textId="634A337C" w:rsidR="003C020F" w:rsidRDefault="003C020F" w:rsidP="00CF5065">
            <w:r>
              <w:t>11:</w:t>
            </w:r>
            <w:r w:rsidR="003A2674">
              <w:t>25</w:t>
            </w:r>
            <w:r>
              <w:t>-11:</w:t>
            </w:r>
            <w:r w:rsidR="003A2674">
              <w:t>35</w:t>
            </w:r>
            <w:r>
              <w:t>am</w:t>
            </w:r>
          </w:p>
        </w:tc>
        <w:tc>
          <w:tcPr>
            <w:tcW w:w="4596" w:type="dxa"/>
          </w:tcPr>
          <w:p w14:paraId="7C3FC264" w14:textId="77777777" w:rsidR="003C020F" w:rsidRDefault="003C020F" w:rsidP="00CF5065">
            <w:pPr>
              <w:jc w:val="center"/>
            </w:pPr>
            <w:r>
              <w:t>Equine Point of Care Testing Update</w:t>
            </w:r>
          </w:p>
        </w:tc>
        <w:tc>
          <w:tcPr>
            <w:tcW w:w="3155" w:type="dxa"/>
          </w:tcPr>
          <w:p w14:paraId="351180CC" w14:textId="5E9BBEFE" w:rsidR="003C020F" w:rsidRDefault="007D6B2B" w:rsidP="00CF5065">
            <w:r>
              <w:t xml:space="preserve">Nick Tran and </w:t>
            </w:r>
            <w:r w:rsidR="003C020F">
              <w:t>Eric Mendonsa</w:t>
            </w:r>
          </w:p>
        </w:tc>
      </w:tr>
      <w:tr w:rsidR="003C020F" w:rsidRPr="00EC6FC5" w14:paraId="05494144" w14:textId="77777777" w:rsidTr="00CF5065">
        <w:trPr>
          <w:trHeight w:val="440"/>
          <w:jc w:val="center"/>
        </w:trPr>
        <w:tc>
          <w:tcPr>
            <w:tcW w:w="1599" w:type="dxa"/>
          </w:tcPr>
          <w:p w14:paraId="0033B0AE" w14:textId="565D2120" w:rsidR="003C020F" w:rsidRDefault="003C020F" w:rsidP="00CF5065">
            <w:r>
              <w:t>11:</w:t>
            </w:r>
            <w:r w:rsidR="003A2674">
              <w:t>35</w:t>
            </w:r>
            <w:r>
              <w:t>-11:50am</w:t>
            </w:r>
          </w:p>
        </w:tc>
        <w:tc>
          <w:tcPr>
            <w:tcW w:w="4596" w:type="dxa"/>
          </w:tcPr>
          <w:p w14:paraId="5A0DB82F" w14:textId="77777777" w:rsidR="003C020F" w:rsidRPr="00F049B7" w:rsidRDefault="003C020F" w:rsidP="00CF5065">
            <w:pPr>
              <w:jc w:val="center"/>
            </w:pPr>
            <w:bookmarkStart w:id="4" w:name="_Hlk212106030"/>
            <w:r>
              <w:t>High Health High Performance Resolution Background</w:t>
            </w:r>
            <w:bookmarkEnd w:id="4"/>
          </w:p>
        </w:tc>
        <w:tc>
          <w:tcPr>
            <w:tcW w:w="3155" w:type="dxa"/>
          </w:tcPr>
          <w:p w14:paraId="5B5FCD06" w14:textId="77777777" w:rsidR="003C020F" w:rsidRDefault="003C020F" w:rsidP="00CF5065">
            <w:r>
              <w:t xml:space="preserve">Dr. Katie Flynn </w:t>
            </w:r>
          </w:p>
        </w:tc>
      </w:tr>
      <w:tr w:rsidR="003C020F" w:rsidRPr="00EC6FC5" w14:paraId="2A5C2A58" w14:textId="77777777" w:rsidTr="00CF5065">
        <w:trPr>
          <w:trHeight w:val="233"/>
          <w:jc w:val="center"/>
        </w:trPr>
        <w:tc>
          <w:tcPr>
            <w:tcW w:w="1599" w:type="dxa"/>
          </w:tcPr>
          <w:p w14:paraId="66597843" w14:textId="77777777" w:rsidR="003C020F" w:rsidRDefault="003C020F" w:rsidP="00CF5065">
            <w:r>
              <w:t xml:space="preserve">11:50- </w:t>
            </w:r>
          </w:p>
          <w:p w14:paraId="116782C7" w14:textId="77777777" w:rsidR="003C020F" w:rsidRPr="00EC6FC5" w:rsidRDefault="003C020F" w:rsidP="00CF5065">
            <w:r>
              <w:t>12:15pm</w:t>
            </w:r>
          </w:p>
        </w:tc>
        <w:tc>
          <w:tcPr>
            <w:tcW w:w="4596" w:type="dxa"/>
          </w:tcPr>
          <w:p w14:paraId="4B10B700" w14:textId="77777777" w:rsidR="003C020F" w:rsidRPr="00734A86" w:rsidRDefault="003C020F" w:rsidP="00CF5065">
            <w:pPr>
              <w:jc w:val="center"/>
            </w:pPr>
            <w:r>
              <w:t>Business Session - Resolutions Review, SAHO EHM Guidance Document Vote for Approval and Charter</w:t>
            </w:r>
          </w:p>
        </w:tc>
        <w:tc>
          <w:tcPr>
            <w:tcW w:w="3155" w:type="dxa"/>
          </w:tcPr>
          <w:p w14:paraId="5B49695E" w14:textId="1E43A168" w:rsidR="003C020F" w:rsidRPr="00EC6FC5" w:rsidRDefault="003C020F" w:rsidP="00CF5065">
            <w:r>
              <w:t xml:space="preserve">Dr. </w:t>
            </w:r>
            <w:r w:rsidR="007D6B2B">
              <w:t xml:space="preserve">Joe </w:t>
            </w:r>
            <w:r>
              <w:t xml:space="preserve">Fisch &amp; Dr. </w:t>
            </w:r>
            <w:r w:rsidR="007D6B2B">
              <w:t xml:space="preserve">Micheal </w:t>
            </w:r>
            <w:r>
              <w:t>Odian</w:t>
            </w:r>
          </w:p>
        </w:tc>
      </w:tr>
      <w:tr w:rsidR="003C020F" w:rsidRPr="00EC6FC5" w14:paraId="7923007C" w14:textId="77777777" w:rsidTr="00CF5065">
        <w:trPr>
          <w:jc w:val="center"/>
        </w:trPr>
        <w:tc>
          <w:tcPr>
            <w:tcW w:w="1599" w:type="dxa"/>
          </w:tcPr>
          <w:p w14:paraId="2CD13ABA" w14:textId="77777777" w:rsidR="003C020F" w:rsidRPr="00EC6FC5" w:rsidRDefault="003C020F" w:rsidP="00CF5065">
            <w:r>
              <w:t>12:15pm</w:t>
            </w:r>
          </w:p>
        </w:tc>
        <w:tc>
          <w:tcPr>
            <w:tcW w:w="4596" w:type="dxa"/>
          </w:tcPr>
          <w:p w14:paraId="71C6B35B" w14:textId="77777777" w:rsidR="003C020F" w:rsidRPr="00EC6FC5" w:rsidRDefault="003C020F" w:rsidP="00CF5065">
            <w:pPr>
              <w:jc w:val="center"/>
            </w:pPr>
            <w:r>
              <w:t>Closing</w:t>
            </w:r>
          </w:p>
        </w:tc>
        <w:tc>
          <w:tcPr>
            <w:tcW w:w="3155" w:type="dxa"/>
          </w:tcPr>
          <w:p w14:paraId="6EDB9654" w14:textId="77777777" w:rsidR="003C020F" w:rsidRPr="00EC6FC5" w:rsidRDefault="003C020F" w:rsidP="00CF5065"/>
        </w:tc>
      </w:tr>
    </w:tbl>
    <w:p w14:paraId="00DB3BCD" w14:textId="77777777" w:rsidR="0075544F" w:rsidRDefault="0075544F" w:rsidP="00EC6FC5">
      <w:pPr>
        <w:jc w:val="center"/>
      </w:pPr>
    </w:p>
    <w:p w14:paraId="31B8D988" w14:textId="77777777" w:rsidR="00E40F00" w:rsidRDefault="00E40F00" w:rsidP="00EC6FC5"/>
    <w:p w14:paraId="2190F598" w14:textId="61BF5ADD" w:rsidR="00404C8A" w:rsidRPr="00404C8A" w:rsidRDefault="003C020F" w:rsidP="00404C8A">
      <w:pPr>
        <w:rPr>
          <w:rFonts w:asciiTheme="minorHAnsi" w:hAnsiTheme="minorHAnsi" w:cstheme="minorHAnsi"/>
        </w:rPr>
      </w:pPr>
      <w:r w:rsidRPr="00D7637E">
        <w:rPr>
          <w:rFonts w:asciiTheme="minorHAnsi" w:hAnsiTheme="minorHAnsi" w:cstheme="minorHAnsi"/>
          <w:b/>
          <w:bCs/>
          <w:sz w:val="24"/>
          <w:szCs w:val="24"/>
        </w:rPr>
        <w:t xml:space="preserve">Developing a National-Level Equine Population Model for Disease Emergency Planning and Preparedness </w:t>
      </w:r>
      <w:r w:rsidR="00B960C3" w:rsidRPr="00D7637E">
        <w:rPr>
          <w:rFonts w:asciiTheme="minorHAnsi" w:hAnsiTheme="minorHAnsi" w:cstheme="minorHAnsi"/>
        </w:rPr>
        <w:t xml:space="preserve">by </w:t>
      </w:r>
      <w:r w:rsidR="00404C8A" w:rsidRPr="00404C8A">
        <w:rPr>
          <w:rFonts w:asciiTheme="minorHAnsi" w:hAnsiTheme="minorHAnsi" w:cstheme="minorHAnsi"/>
        </w:rPr>
        <w:t>Jairo Palomares</w:t>
      </w:r>
      <w:r w:rsidR="00404C8A">
        <w:rPr>
          <w:rFonts w:asciiTheme="minorHAnsi" w:hAnsiTheme="minorHAnsi" w:cstheme="minorHAnsi"/>
        </w:rPr>
        <w:t xml:space="preserve">, </w:t>
      </w:r>
      <w:r w:rsidR="00404C8A" w:rsidRPr="00404C8A">
        <w:rPr>
          <w:rFonts w:asciiTheme="minorHAnsi" w:hAnsiTheme="minorHAnsi" w:cstheme="minorHAnsi"/>
        </w:rPr>
        <w:t>DVM, MSc, PhD, and Sangeeta Rao</w:t>
      </w:r>
      <w:r w:rsidR="00404C8A">
        <w:rPr>
          <w:rFonts w:asciiTheme="minorHAnsi" w:hAnsiTheme="minorHAnsi" w:cstheme="minorHAnsi"/>
        </w:rPr>
        <w:t xml:space="preserve">, </w:t>
      </w:r>
      <w:r w:rsidR="00404C8A" w:rsidRPr="00404C8A">
        <w:rPr>
          <w:rFonts w:asciiTheme="minorHAnsi" w:hAnsiTheme="minorHAnsi" w:cstheme="minorHAnsi"/>
        </w:rPr>
        <w:t xml:space="preserve">BVSc, </w:t>
      </w:r>
      <w:proofErr w:type="spellStart"/>
      <w:r w:rsidR="00404C8A" w:rsidRPr="00404C8A">
        <w:rPr>
          <w:rFonts w:asciiTheme="minorHAnsi" w:hAnsiTheme="minorHAnsi" w:cstheme="minorHAnsi"/>
        </w:rPr>
        <w:t>MVSc</w:t>
      </w:r>
      <w:proofErr w:type="spellEnd"/>
      <w:r w:rsidR="00404C8A" w:rsidRPr="00404C8A">
        <w:rPr>
          <w:rFonts w:asciiTheme="minorHAnsi" w:hAnsiTheme="minorHAnsi" w:cstheme="minorHAnsi"/>
        </w:rPr>
        <w:t>, PhD</w:t>
      </w:r>
    </w:p>
    <w:p w14:paraId="693A23E4" w14:textId="6094EEC3" w:rsidR="00B960C3" w:rsidRPr="00D7637E" w:rsidRDefault="00404C8A" w:rsidP="00404C8A">
      <w:pPr>
        <w:rPr>
          <w:rFonts w:asciiTheme="minorHAnsi" w:hAnsiTheme="minorHAnsi" w:cstheme="minorHAnsi"/>
        </w:rPr>
      </w:pPr>
      <w:r w:rsidRPr="00404C8A">
        <w:rPr>
          <w:rFonts w:asciiTheme="minorHAnsi" w:hAnsiTheme="minorHAnsi" w:cstheme="minorHAnsi"/>
        </w:rPr>
        <w:t>College of Veterinary Medicine and Biomedical Sciences, Colorado State University</w:t>
      </w:r>
    </w:p>
    <w:p w14:paraId="747FC513" w14:textId="77777777" w:rsidR="00FB6A3E" w:rsidRPr="00D7637E" w:rsidRDefault="00FB6A3E" w:rsidP="00F85C6E">
      <w:pPr>
        <w:rPr>
          <w:rFonts w:asciiTheme="minorHAnsi" w:hAnsiTheme="minorHAnsi" w:cstheme="minorHAnsi"/>
        </w:rPr>
      </w:pPr>
    </w:p>
    <w:p w14:paraId="0C102383" w14:textId="7A23584E" w:rsidR="00404C8A" w:rsidRDefault="00404C8A" w:rsidP="00404C8A">
      <w:pPr>
        <w:rPr>
          <w:rFonts w:asciiTheme="minorHAnsi" w:hAnsiTheme="minorHAnsi" w:cstheme="minorHAnsi"/>
        </w:rPr>
      </w:pPr>
      <w:r w:rsidRPr="00404C8A">
        <w:rPr>
          <w:rFonts w:asciiTheme="minorHAnsi" w:hAnsiTheme="minorHAnsi" w:cstheme="minorHAnsi"/>
        </w:rPr>
        <w:t>The</w:t>
      </w:r>
      <w:r w:rsidR="007D6B2B">
        <w:rPr>
          <w:rFonts w:asciiTheme="minorHAnsi" w:hAnsiTheme="minorHAnsi" w:cstheme="minorHAnsi"/>
        </w:rPr>
        <w:t xml:space="preserve"> disease modeling</w:t>
      </w:r>
      <w:r w:rsidRPr="00404C8A">
        <w:rPr>
          <w:rFonts w:asciiTheme="minorHAnsi" w:hAnsiTheme="minorHAnsi" w:cstheme="minorHAnsi"/>
        </w:rPr>
        <w:t xml:space="preserve"> project aims to address a critical gap in the United States’ ability to plan for and respond to equine disease emergencies by developing a comprehensive national dataset of equine operation locations and population distributions. Accurate information on locations of equine operations, as well as their size and density, is vital for effective emergency preparedness, disease outbreak response, and disaster planning. However, a complete and detailed national-level dataset does not currently exist. Existing data sources such as, those from the National Agricultural Statistics Service (NASS), the National Animal Health Monitoring System (NAHMS), and the American Horse Council (AHC) are either aggregate, incomplete, targeted or inconsistent, providing limited spatial precision and failing to capture all types of equine operations.</w:t>
      </w:r>
    </w:p>
    <w:p w14:paraId="40A68834" w14:textId="77777777" w:rsidR="003A2674" w:rsidRPr="00404C8A" w:rsidRDefault="003A2674" w:rsidP="00404C8A">
      <w:pPr>
        <w:rPr>
          <w:rFonts w:asciiTheme="minorHAnsi" w:hAnsiTheme="minorHAnsi" w:cstheme="minorHAnsi"/>
        </w:rPr>
      </w:pPr>
    </w:p>
    <w:p w14:paraId="622F1A4D" w14:textId="77777777" w:rsidR="00404C8A" w:rsidRDefault="00404C8A" w:rsidP="00404C8A">
      <w:pPr>
        <w:rPr>
          <w:rFonts w:asciiTheme="minorHAnsi" w:hAnsiTheme="minorHAnsi" w:cstheme="minorHAnsi"/>
        </w:rPr>
      </w:pPr>
      <w:r w:rsidRPr="00404C8A">
        <w:rPr>
          <w:rFonts w:asciiTheme="minorHAnsi" w:hAnsiTheme="minorHAnsi" w:cstheme="minorHAnsi"/>
        </w:rPr>
        <w:t xml:space="preserve">The central goal of the project is to use advanced geospatial and artificial intelligence (AI) tools to develop a national-level equine population model that can support both state and federal animal health officials. This model will be valuable for managing outbreaks of equine diseases such as African Horse Sickness, Vesicular Stomatitis, Equine Infectious Anemia, and Equine Piroplasmosis, as well as for responding to natural disasters like floods, fires, hurricanes, and tornadoes. The team’s approach integrates two complementary methodologies: Geo-AI modeling and Statistical probability mapping. Using imagery from the National Agricultural Imagery Program (NAIP), the Geo-AI model employs remote sensing and deep learning techniques to identify potential larger equine operation sites across the country. The predictions of smaller operations will be captured by statistical probability maps that estimate the likelihood of equine operation presence based on environmental, demographic, and </w:t>
      </w:r>
      <w:r w:rsidRPr="00404C8A">
        <w:rPr>
          <w:rFonts w:asciiTheme="minorHAnsi" w:hAnsiTheme="minorHAnsi" w:cstheme="minorHAnsi"/>
        </w:rPr>
        <w:lastRenderedPageBreak/>
        <w:t>infrastructural covariates such as terrain, land use, human population density, and proximity to transportation networks. The model utilizes Esri’s ArcGIS Pro software and data from the Living Atlas of the World to create refined probability maps, with deterministic imputation methods used to adjust for missing data from NASS state totals.</w:t>
      </w:r>
    </w:p>
    <w:p w14:paraId="2C1E36A7" w14:textId="77777777" w:rsidR="003A2674" w:rsidRPr="00404C8A" w:rsidRDefault="003A2674" w:rsidP="00404C8A">
      <w:pPr>
        <w:rPr>
          <w:rFonts w:asciiTheme="minorHAnsi" w:hAnsiTheme="minorHAnsi" w:cstheme="minorHAnsi"/>
        </w:rPr>
      </w:pPr>
    </w:p>
    <w:p w14:paraId="61EC1EFB" w14:textId="4410E147" w:rsidR="00B960C3" w:rsidRPr="00D7637E" w:rsidRDefault="00404C8A" w:rsidP="00404C8A">
      <w:pPr>
        <w:rPr>
          <w:rFonts w:asciiTheme="minorHAnsi" w:hAnsiTheme="minorHAnsi" w:cstheme="minorHAnsi"/>
        </w:rPr>
      </w:pPr>
      <w:r w:rsidRPr="00404C8A">
        <w:rPr>
          <w:rFonts w:asciiTheme="minorHAnsi" w:hAnsiTheme="minorHAnsi" w:cstheme="minorHAnsi"/>
        </w:rPr>
        <w:t>The outcome of this integrated approach is a set of national-scale maps showing the probable locations and densities of equine operations. These results provide a valuable resource for understanding disease transmission dynamics, guiding epidemiological modeling, and improving preparedness and resource allocation during disease outbreaks and emergencies. The team concludes that feedback from stakeholders, including industry representatives and animal health agencies, will be essential for refining the model and ensuring that it meets the practical needs of emergency planners and policy makers.</w:t>
      </w:r>
    </w:p>
    <w:p w14:paraId="1142F918" w14:textId="77777777" w:rsidR="00B960C3" w:rsidRPr="00D7637E" w:rsidRDefault="00B960C3" w:rsidP="00EC6FC5">
      <w:pPr>
        <w:rPr>
          <w:rFonts w:asciiTheme="minorHAnsi" w:hAnsiTheme="minorHAnsi" w:cstheme="minorHAnsi"/>
        </w:rPr>
      </w:pPr>
    </w:p>
    <w:p w14:paraId="24D188E3" w14:textId="054865BF" w:rsidR="00B960C3" w:rsidRPr="00D7637E" w:rsidRDefault="003C020F" w:rsidP="00EC6FC5">
      <w:pPr>
        <w:rPr>
          <w:rFonts w:asciiTheme="minorHAnsi" w:hAnsiTheme="minorHAnsi" w:cstheme="minorHAnsi"/>
        </w:rPr>
      </w:pPr>
      <w:r w:rsidRPr="00D7637E">
        <w:rPr>
          <w:rFonts w:asciiTheme="minorHAnsi" w:hAnsiTheme="minorHAnsi" w:cstheme="minorHAnsi"/>
          <w:b/>
          <w:bCs/>
          <w:sz w:val="24"/>
          <w:szCs w:val="24"/>
        </w:rPr>
        <w:t xml:space="preserve">Sick Horse Import Update </w:t>
      </w:r>
      <w:r w:rsidR="00B960C3" w:rsidRPr="00D7637E">
        <w:rPr>
          <w:rFonts w:asciiTheme="minorHAnsi" w:hAnsiTheme="minorHAnsi" w:cstheme="minorHAnsi"/>
        </w:rPr>
        <w:t xml:space="preserve">by </w:t>
      </w:r>
      <w:r w:rsidR="003A2674">
        <w:rPr>
          <w:rFonts w:asciiTheme="minorHAnsi" w:hAnsiTheme="minorHAnsi" w:cstheme="minorHAnsi"/>
        </w:rPr>
        <w:t xml:space="preserve">Brianna Schur, DVM, </w:t>
      </w:r>
      <w:r w:rsidR="003A2674" w:rsidRPr="003A2674">
        <w:rPr>
          <w:rFonts w:asciiTheme="minorHAnsi" w:hAnsiTheme="minorHAnsi" w:cstheme="minorHAnsi"/>
        </w:rPr>
        <w:t>USDA-APHIS-Veterinary Services</w:t>
      </w:r>
    </w:p>
    <w:p w14:paraId="36D05257" w14:textId="77777777" w:rsidR="00B960C3" w:rsidRPr="00D7637E" w:rsidRDefault="00B960C3" w:rsidP="00EC6FC5">
      <w:pPr>
        <w:rPr>
          <w:rFonts w:asciiTheme="minorHAnsi" w:hAnsiTheme="minorHAnsi" w:cstheme="minorHAnsi"/>
        </w:rPr>
      </w:pPr>
    </w:p>
    <w:p w14:paraId="053F4EE5" w14:textId="106AE070" w:rsidR="00B2624A" w:rsidRPr="003A2674" w:rsidRDefault="00812483" w:rsidP="003C020F">
      <w:pPr>
        <w:rPr>
          <w:rFonts w:asciiTheme="minorHAnsi" w:hAnsiTheme="minorHAnsi" w:cstheme="minorHAnsi"/>
          <w:color w:val="000000"/>
        </w:rPr>
      </w:pPr>
      <w:r w:rsidRPr="00D7637E">
        <w:rPr>
          <w:rFonts w:asciiTheme="minorHAnsi" w:hAnsiTheme="minorHAnsi" w:cstheme="minorHAnsi"/>
          <w:color w:val="000000"/>
          <w:shd w:val="clear" w:color="auto" w:fill="FFFFFF"/>
        </w:rPr>
        <w:t>APHIS present</w:t>
      </w:r>
      <w:r w:rsidR="003A2674">
        <w:rPr>
          <w:rFonts w:asciiTheme="minorHAnsi" w:hAnsiTheme="minorHAnsi" w:cstheme="minorHAnsi"/>
          <w:color w:val="000000"/>
          <w:shd w:val="clear" w:color="auto" w:fill="FFFFFF"/>
        </w:rPr>
        <w:t>ed</w:t>
      </w:r>
      <w:r w:rsidRPr="00D7637E">
        <w:rPr>
          <w:rFonts w:asciiTheme="minorHAnsi" w:hAnsiTheme="minorHAnsi" w:cstheme="minorHAnsi"/>
          <w:color w:val="000000"/>
          <w:shd w:val="clear" w:color="auto" w:fill="FFFFFF"/>
        </w:rPr>
        <w:t xml:space="preserve"> data on sick horse imports in FY25 to </w:t>
      </w:r>
      <w:r w:rsidR="007D6B2B">
        <w:rPr>
          <w:rFonts w:asciiTheme="minorHAnsi" w:hAnsiTheme="minorHAnsi" w:cstheme="minorHAnsi"/>
          <w:color w:val="000000"/>
          <w:shd w:val="clear" w:color="auto" w:fill="FFFFFF"/>
        </w:rPr>
        <w:t>which included</w:t>
      </w:r>
      <w:r w:rsidRPr="00D7637E">
        <w:rPr>
          <w:rFonts w:asciiTheme="minorHAnsi" w:hAnsiTheme="minorHAnsi" w:cstheme="minorHAnsi"/>
          <w:color w:val="000000"/>
          <w:shd w:val="clear" w:color="auto" w:fill="FFFFFF"/>
        </w:rPr>
        <w:t xml:space="preserve"> information about the numbers of sick imported horses by air, the countries of origin of these horses, a summary of horses referred to an approved clinic for medical care, and the types of diagnosis they received.</w:t>
      </w:r>
    </w:p>
    <w:p w14:paraId="507CB2A3" w14:textId="77777777" w:rsidR="00B960C3" w:rsidRPr="00D7637E" w:rsidRDefault="00B960C3" w:rsidP="00EC6FC5">
      <w:pPr>
        <w:rPr>
          <w:rFonts w:asciiTheme="minorHAnsi" w:hAnsiTheme="minorHAnsi" w:cstheme="minorHAnsi"/>
        </w:rPr>
      </w:pPr>
    </w:p>
    <w:p w14:paraId="0E6D03A9" w14:textId="0E562EF5" w:rsidR="00B960C3" w:rsidRPr="00D7637E" w:rsidRDefault="003C020F" w:rsidP="00D7637E">
      <w:pPr>
        <w:rPr>
          <w:rFonts w:asciiTheme="minorHAnsi" w:hAnsiTheme="minorHAnsi" w:cstheme="minorHAnsi"/>
        </w:rPr>
      </w:pPr>
      <w:r w:rsidRPr="00D7637E">
        <w:rPr>
          <w:rFonts w:asciiTheme="minorHAnsi" w:hAnsiTheme="minorHAnsi" w:cstheme="minorHAnsi"/>
          <w:b/>
          <w:bCs/>
          <w:sz w:val="24"/>
          <w:szCs w:val="24"/>
        </w:rPr>
        <w:t>Contagious Equine Metritis Response, E</w:t>
      </w:r>
      <w:r w:rsidR="00D7637E" w:rsidRPr="00D7637E">
        <w:rPr>
          <w:rFonts w:asciiTheme="minorHAnsi" w:hAnsiTheme="minorHAnsi" w:cstheme="minorHAnsi"/>
          <w:b/>
          <w:bCs/>
          <w:sz w:val="24"/>
          <w:szCs w:val="24"/>
        </w:rPr>
        <w:t xml:space="preserve">quine </w:t>
      </w:r>
      <w:r w:rsidRPr="00D7637E">
        <w:rPr>
          <w:rFonts w:asciiTheme="minorHAnsi" w:hAnsiTheme="minorHAnsi" w:cstheme="minorHAnsi"/>
          <w:b/>
          <w:bCs/>
          <w:sz w:val="24"/>
          <w:szCs w:val="24"/>
        </w:rPr>
        <w:t>I</w:t>
      </w:r>
      <w:r w:rsidR="00D7637E" w:rsidRPr="00D7637E">
        <w:rPr>
          <w:rFonts w:asciiTheme="minorHAnsi" w:hAnsiTheme="minorHAnsi" w:cstheme="minorHAnsi"/>
          <w:b/>
          <w:bCs/>
          <w:sz w:val="24"/>
          <w:szCs w:val="24"/>
        </w:rPr>
        <w:t xml:space="preserve">nfectious </w:t>
      </w:r>
      <w:r w:rsidRPr="00D7637E">
        <w:rPr>
          <w:rFonts w:asciiTheme="minorHAnsi" w:hAnsiTheme="minorHAnsi" w:cstheme="minorHAnsi"/>
          <w:b/>
          <w:bCs/>
          <w:sz w:val="24"/>
          <w:szCs w:val="24"/>
        </w:rPr>
        <w:t>A</w:t>
      </w:r>
      <w:r w:rsidR="00D7637E" w:rsidRPr="00D7637E">
        <w:rPr>
          <w:rFonts w:asciiTheme="minorHAnsi" w:hAnsiTheme="minorHAnsi" w:cstheme="minorHAnsi"/>
          <w:b/>
          <w:bCs/>
          <w:sz w:val="24"/>
          <w:szCs w:val="24"/>
        </w:rPr>
        <w:t>nemia</w:t>
      </w:r>
      <w:r w:rsidRPr="00D7637E">
        <w:rPr>
          <w:rFonts w:asciiTheme="minorHAnsi" w:hAnsiTheme="minorHAnsi" w:cstheme="minorHAnsi"/>
          <w:b/>
          <w:bCs/>
          <w:sz w:val="24"/>
          <w:szCs w:val="24"/>
        </w:rPr>
        <w:t xml:space="preserve"> Outbreak and E</w:t>
      </w:r>
      <w:r w:rsidR="00D7637E" w:rsidRPr="00D7637E">
        <w:rPr>
          <w:rFonts w:asciiTheme="minorHAnsi" w:hAnsiTheme="minorHAnsi" w:cstheme="minorHAnsi"/>
          <w:b/>
          <w:bCs/>
          <w:sz w:val="24"/>
          <w:szCs w:val="24"/>
        </w:rPr>
        <w:t xml:space="preserve">quine </w:t>
      </w:r>
      <w:r w:rsidRPr="00D7637E">
        <w:rPr>
          <w:rFonts w:asciiTheme="minorHAnsi" w:hAnsiTheme="minorHAnsi" w:cstheme="minorHAnsi"/>
          <w:b/>
          <w:bCs/>
          <w:sz w:val="24"/>
          <w:szCs w:val="24"/>
        </w:rPr>
        <w:t>V</w:t>
      </w:r>
      <w:r w:rsidR="00D7637E" w:rsidRPr="00D7637E">
        <w:rPr>
          <w:rFonts w:asciiTheme="minorHAnsi" w:hAnsiTheme="minorHAnsi" w:cstheme="minorHAnsi"/>
          <w:b/>
          <w:bCs/>
          <w:sz w:val="24"/>
          <w:szCs w:val="24"/>
        </w:rPr>
        <w:t xml:space="preserve">iral </w:t>
      </w:r>
      <w:r w:rsidRPr="00D7637E">
        <w:rPr>
          <w:rFonts w:asciiTheme="minorHAnsi" w:hAnsiTheme="minorHAnsi" w:cstheme="minorHAnsi"/>
          <w:b/>
          <w:bCs/>
          <w:sz w:val="24"/>
          <w:szCs w:val="24"/>
        </w:rPr>
        <w:t>A</w:t>
      </w:r>
      <w:r w:rsidR="00D7637E" w:rsidRPr="00D7637E">
        <w:rPr>
          <w:rFonts w:asciiTheme="minorHAnsi" w:hAnsiTheme="minorHAnsi" w:cstheme="minorHAnsi"/>
          <w:b/>
          <w:bCs/>
          <w:sz w:val="24"/>
          <w:szCs w:val="24"/>
        </w:rPr>
        <w:t xml:space="preserve">rteritis </w:t>
      </w:r>
      <w:r w:rsidRPr="00D7637E">
        <w:rPr>
          <w:rFonts w:asciiTheme="minorHAnsi" w:hAnsiTheme="minorHAnsi" w:cstheme="minorHAnsi"/>
          <w:b/>
          <w:bCs/>
          <w:sz w:val="24"/>
          <w:szCs w:val="24"/>
        </w:rPr>
        <w:t>UM&amp;R Updates</w:t>
      </w:r>
      <w:r w:rsidR="00B960C3" w:rsidRPr="00D7637E">
        <w:rPr>
          <w:rFonts w:asciiTheme="minorHAnsi" w:hAnsiTheme="minorHAnsi" w:cstheme="minorHAnsi"/>
        </w:rPr>
        <w:t xml:space="preserve"> by </w:t>
      </w:r>
      <w:r w:rsidR="00D7637E" w:rsidRPr="00D7637E">
        <w:rPr>
          <w:rFonts w:asciiTheme="minorHAnsi" w:hAnsiTheme="minorHAnsi" w:cstheme="minorHAnsi"/>
        </w:rPr>
        <w:t xml:space="preserve">Angela Pelzel-McCluskey, DVM, MS </w:t>
      </w:r>
      <w:bookmarkStart w:id="5" w:name="_Hlk213059227"/>
      <w:r w:rsidR="00D7637E" w:rsidRPr="00D7637E">
        <w:rPr>
          <w:rFonts w:asciiTheme="minorHAnsi" w:hAnsiTheme="minorHAnsi" w:cstheme="minorHAnsi"/>
        </w:rPr>
        <w:t>USDA-APHIS-Veterinary Services</w:t>
      </w:r>
      <w:bookmarkEnd w:id="5"/>
    </w:p>
    <w:p w14:paraId="12942E0C" w14:textId="77777777" w:rsidR="00B960C3" w:rsidRPr="00D7637E" w:rsidRDefault="00B960C3" w:rsidP="00EC6FC5">
      <w:pPr>
        <w:rPr>
          <w:rFonts w:asciiTheme="minorHAnsi" w:hAnsiTheme="minorHAnsi" w:cstheme="minorHAnsi"/>
        </w:rPr>
      </w:pPr>
    </w:p>
    <w:p w14:paraId="43723EDE" w14:textId="77777777" w:rsidR="00D7637E" w:rsidRPr="00D7637E" w:rsidRDefault="00D7637E" w:rsidP="00D7637E">
      <w:pPr>
        <w:contextualSpacing/>
        <w:rPr>
          <w:rFonts w:asciiTheme="minorHAnsi" w:hAnsiTheme="minorHAnsi" w:cstheme="minorHAnsi"/>
        </w:rPr>
      </w:pPr>
      <w:r w:rsidRPr="00D7637E">
        <w:rPr>
          <w:rFonts w:asciiTheme="minorHAnsi" w:hAnsiTheme="minorHAnsi" w:cstheme="minorHAnsi"/>
        </w:rPr>
        <w:t xml:space="preserve">An overview of recent outbreaks of contagious equine metritis (CEM) and equine infectious anemia (EIA) was presented to the committee.  A significant outbreak of CEM in Florida first identified in May 2024 had response activities that continued through most of 2025.  The index premises in Orange County, Florida, was a large entertainment-type premises with a total equine population of 96 head including 35 ponies (4 stallions, 13 mares, and 18 geldings), 39 riding horses of various breeds (all geldings), and 22 draft horses (all geldings).  The infection with </w:t>
      </w:r>
      <w:r w:rsidRPr="00D7637E">
        <w:rPr>
          <w:rFonts w:asciiTheme="minorHAnsi" w:hAnsiTheme="minorHAnsi" w:cstheme="minorHAnsi"/>
          <w:i/>
          <w:iCs/>
        </w:rPr>
        <w:t>Taylorella equigenitalis</w:t>
      </w:r>
      <w:r w:rsidRPr="00D7637E">
        <w:rPr>
          <w:rFonts w:asciiTheme="minorHAnsi" w:hAnsiTheme="minorHAnsi" w:cstheme="minorHAnsi"/>
        </w:rPr>
        <w:t xml:space="preserve"> was first identified in the pony breeding herd when a pony mare presented with compatible clinical signs of recent infection shortly after being bred to a pony stallion on the premises.  Both the pony mare and stallion were found culture positive for </w:t>
      </w:r>
      <w:r w:rsidRPr="00D7637E">
        <w:rPr>
          <w:rFonts w:asciiTheme="minorHAnsi" w:hAnsiTheme="minorHAnsi" w:cstheme="minorHAnsi"/>
          <w:i/>
          <w:iCs/>
        </w:rPr>
        <w:t>T. equigenitalis</w:t>
      </w:r>
      <w:r w:rsidRPr="00D7637E">
        <w:rPr>
          <w:rFonts w:asciiTheme="minorHAnsi" w:hAnsiTheme="minorHAnsi" w:cstheme="minorHAnsi"/>
        </w:rPr>
        <w:t xml:space="preserve">.  </w:t>
      </w:r>
    </w:p>
    <w:p w14:paraId="10E299A0" w14:textId="77777777" w:rsidR="00D7637E" w:rsidRPr="00D7637E" w:rsidRDefault="00D7637E" w:rsidP="00D7637E">
      <w:pPr>
        <w:contextualSpacing/>
        <w:rPr>
          <w:rFonts w:asciiTheme="minorHAnsi" w:hAnsiTheme="minorHAnsi" w:cstheme="minorHAnsi"/>
        </w:rPr>
      </w:pPr>
    </w:p>
    <w:p w14:paraId="602C53D5" w14:textId="77777777" w:rsidR="00D7637E" w:rsidRPr="00D7637E" w:rsidRDefault="00D7637E" w:rsidP="00D7637E">
      <w:pPr>
        <w:contextualSpacing/>
        <w:rPr>
          <w:rFonts w:asciiTheme="minorHAnsi" w:hAnsiTheme="minorHAnsi" w:cstheme="minorHAnsi"/>
        </w:rPr>
      </w:pPr>
      <w:r w:rsidRPr="00D7637E">
        <w:rPr>
          <w:rFonts w:asciiTheme="minorHAnsi" w:hAnsiTheme="minorHAnsi" w:cstheme="minorHAnsi"/>
        </w:rPr>
        <w:t xml:space="preserve">Testing of the other equids on the premises confirmed </w:t>
      </w:r>
      <w:r w:rsidRPr="00D7637E">
        <w:rPr>
          <w:rFonts w:asciiTheme="minorHAnsi" w:hAnsiTheme="minorHAnsi" w:cstheme="minorHAnsi"/>
          <w:i/>
          <w:iCs/>
        </w:rPr>
        <w:t>T. equigenitalis</w:t>
      </w:r>
      <w:r w:rsidRPr="00D7637E">
        <w:rPr>
          <w:rFonts w:asciiTheme="minorHAnsi" w:hAnsiTheme="minorHAnsi" w:cstheme="minorHAnsi"/>
        </w:rPr>
        <w:t xml:space="preserve"> infection in 1 other pony stallion, 13 pony geldings, 13 riding geldings, and 12 draft geldings (41 infected equids total on the premises).  Transmission between the two pony stallions occurred when they shared semen collection equipment one day apart in May 2024 and one stallion transmitted to the pony mare by live cover breeding also in May 2024.  Transmission among the geldings and subsequently to one of the stallions was by iatrogenic means during repeated sheath cleanings among all of the male equids which was being performed frequently and with inadequate to absent biosecurity measures.  </w:t>
      </w:r>
    </w:p>
    <w:p w14:paraId="1F9901E0" w14:textId="77777777" w:rsidR="00D7637E" w:rsidRPr="00D7637E" w:rsidRDefault="00D7637E" w:rsidP="00D7637E">
      <w:pPr>
        <w:contextualSpacing/>
        <w:rPr>
          <w:rFonts w:asciiTheme="minorHAnsi" w:hAnsiTheme="minorHAnsi" w:cstheme="minorHAnsi"/>
        </w:rPr>
      </w:pPr>
    </w:p>
    <w:p w14:paraId="4BE9ACA4" w14:textId="12F10228" w:rsidR="00D7637E" w:rsidRPr="00D7637E" w:rsidRDefault="00D7637E" w:rsidP="00D7637E">
      <w:pPr>
        <w:contextualSpacing/>
        <w:rPr>
          <w:rFonts w:asciiTheme="minorHAnsi" w:hAnsiTheme="minorHAnsi" w:cstheme="minorHAnsi"/>
        </w:rPr>
      </w:pPr>
      <w:r w:rsidRPr="00D7637E">
        <w:rPr>
          <w:rFonts w:asciiTheme="minorHAnsi" w:hAnsiTheme="minorHAnsi" w:cstheme="minorHAnsi"/>
        </w:rPr>
        <w:t xml:space="preserve">An additional 12 geldings that had left the index farm between 2017 and 2024 were found </w:t>
      </w:r>
      <w:r w:rsidRPr="00D7637E">
        <w:rPr>
          <w:rFonts w:asciiTheme="minorHAnsi" w:hAnsiTheme="minorHAnsi" w:cstheme="minorHAnsi"/>
          <w:i/>
          <w:iCs/>
        </w:rPr>
        <w:t>T. equigenitalis</w:t>
      </w:r>
      <w:r w:rsidRPr="00D7637E">
        <w:rPr>
          <w:rFonts w:asciiTheme="minorHAnsi" w:hAnsiTheme="minorHAnsi" w:cstheme="minorHAnsi"/>
        </w:rPr>
        <w:t xml:space="preserve">-positive during trace out testing on other premises in Florida (6), Iowa (1), Maine (1), Maryland (1), North Carolina (1), and South Carolina (1).  The epidemiological investigation indicates that infection had been present on the index farm in Florida since at least November 2017 with the source likely to have originally been one of the infected geldings, although the definitive source has not yet been identified.  The pony stallions and mare from the breeding herd were only recently infected and were each epidemiologically ruled out as the infection source. Genomic sequencing at NVSL shows </w:t>
      </w:r>
      <w:r w:rsidRPr="00D7637E">
        <w:rPr>
          <w:rFonts w:asciiTheme="minorHAnsi" w:hAnsiTheme="minorHAnsi" w:cstheme="minorHAnsi"/>
        </w:rPr>
        <w:lastRenderedPageBreak/>
        <w:t xml:space="preserve">close correlation among all isolates in the </w:t>
      </w:r>
      <w:r w:rsidR="007D6B2B" w:rsidRPr="00D7637E">
        <w:rPr>
          <w:rFonts w:asciiTheme="minorHAnsi" w:hAnsiTheme="minorHAnsi" w:cstheme="minorHAnsi"/>
        </w:rPr>
        <w:t>outbreak but</w:t>
      </w:r>
      <w:r w:rsidRPr="00D7637E">
        <w:rPr>
          <w:rFonts w:asciiTheme="minorHAnsi" w:hAnsiTheme="minorHAnsi" w:cstheme="minorHAnsi"/>
        </w:rPr>
        <w:t xml:space="preserve"> doesn’t match any previous U.S. outbreaks.  All 53 equids confirmed positive in the outbreak have undergone treatment.   </w:t>
      </w:r>
    </w:p>
    <w:p w14:paraId="5E90E73E" w14:textId="77777777" w:rsidR="00D7637E" w:rsidRPr="00D7637E" w:rsidRDefault="00D7637E" w:rsidP="00D7637E">
      <w:pPr>
        <w:contextualSpacing/>
        <w:rPr>
          <w:rFonts w:asciiTheme="minorHAnsi" w:hAnsiTheme="minorHAnsi" w:cstheme="minorHAnsi"/>
        </w:rPr>
      </w:pPr>
    </w:p>
    <w:p w14:paraId="7804234A" w14:textId="77777777" w:rsidR="00D7637E" w:rsidRPr="00D7637E" w:rsidRDefault="00D7637E" w:rsidP="00D7637E">
      <w:pPr>
        <w:contextualSpacing/>
        <w:rPr>
          <w:rFonts w:asciiTheme="minorHAnsi" w:hAnsiTheme="minorHAnsi" w:cstheme="minorHAnsi"/>
        </w:rPr>
      </w:pPr>
      <w:r w:rsidRPr="00D7637E">
        <w:rPr>
          <w:rFonts w:asciiTheme="minorHAnsi" w:hAnsiTheme="minorHAnsi" w:cstheme="minorHAnsi"/>
        </w:rPr>
        <w:t xml:space="preserve">In calendar year 2024, there were 147 EIA cases confirmed in the U.S. located in 12 states (Arizona, California, Connecticut, Illinois, Louisiana, Nebraska, New Mexico, North Carolina, South Carolina, Tennessee, Texas, Wyoming).  Of the 147 cases, 120 were in Quarter Horse racehorses and 5 were in Thoroughbred racehorses with iatrogenic transmission identified as the cause of spread.  There were 10 cases in horses that were either suspected or confirmed to have moved illegally from Mexico where the disease is endemic.  Of the remaining 12 cases, 1 was in a horse from an untested/under-tested population, 5 were in horses associated with an outbreak caused by iatrogenic transmission at a veterinary clinic in Texas, and 6 cases were of undetermined source.  </w:t>
      </w:r>
    </w:p>
    <w:p w14:paraId="51CAD20E" w14:textId="77777777" w:rsidR="00D7637E" w:rsidRPr="00D7637E" w:rsidRDefault="00D7637E" w:rsidP="00D7637E">
      <w:pPr>
        <w:contextualSpacing/>
        <w:rPr>
          <w:rFonts w:asciiTheme="minorHAnsi" w:hAnsiTheme="minorHAnsi" w:cstheme="minorHAnsi"/>
        </w:rPr>
      </w:pPr>
    </w:p>
    <w:p w14:paraId="6CE94CCF" w14:textId="77777777" w:rsidR="00D7637E" w:rsidRPr="00D7637E" w:rsidRDefault="00D7637E" w:rsidP="00D7637E">
      <w:pPr>
        <w:contextualSpacing/>
        <w:rPr>
          <w:rFonts w:asciiTheme="minorHAnsi" w:hAnsiTheme="minorHAnsi" w:cstheme="minorHAnsi"/>
        </w:rPr>
      </w:pPr>
      <w:r w:rsidRPr="00D7637E">
        <w:rPr>
          <w:rFonts w:asciiTheme="minorHAnsi" w:hAnsiTheme="minorHAnsi" w:cstheme="minorHAnsi"/>
        </w:rPr>
        <w:t xml:space="preserve">There were 2 significant clusters of EIA cases during 2024 and 2025 which were highlighted in both social and mainstream media.  In September/October 2024, a multi-state cluster of 25 EIA cases in sanctioned Quarter Horse racehorses under a single trainer was identified in 3 states (California-12, New Mexico-2, Texas-11).  Epidemiological investigation found that the infection had been </w:t>
      </w:r>
      <w:proofErr w:type="spellStart"/>
      <w:r w:rsidRPr="00D7637E">
        <w:rPr>
          <w:rFonts w:asciiTheme="minorHAnsi" w:hAnsiTheme="minorHAnsi" w:cstheme="minorHAnsi"/>
        </w:rPr>
        <w:t>iatrogenically</w:t>
      </w:r>
      <w:proofErr w:type="spellEnd"/>
      <w:r w:rsidRPr="00D7637E">
        <w:rPr>
          <w:rFonts w:asciiTheme="minorHAnsi" w:hAnsiTheme="minorHAnsi" w:cstheme="minorHAnsi"/>
        </w:rPr>
        <w:t xml:space="preserve"> transmitted between the trainer’s horses when a bottle of an illicit performance enhancing injectable substance (Robinson’s juice) became repeatedly blood-contaminated by double dipping into the bottle with the same needle between horses.  Most of the horses became infected in Ruidoso and Albuquerque during their preparation to race in the All-American Futurity trials and finals races in August/September 2024.  In February 2025, the New Mexico Racing Commission announced the finding of illicit </w:t>
      </w:r>
      <w:proofErr w:type="spellStart"/>
      <w:r w:rsidRPr="00D7637E">
        <w:rPr>
          <w:rFonts w:asciiTheme="minorHAnsi" w:hAnsiTheme="minorHAnsi" w:cstheme="minorHAnsi"/>
        </w:rPr>
        <w:t>carmoterol</w:t>
      </w:r>
      <w:proofErr w:type="spellEnd"/>
      <w:r w:rsidRPr="00D7637E">
        <w:rPr>
          <w:rFonts w:asciiTheme="minorHAnsi" w:hAnsiTheme="minorHAnsi" w:cstheme="minorHAnsi"/>
        </w:rPr>
        <w:t>, a non-FDA approved beta agonist performance enhancing drug, in the September 2</w:t>
      </w:r>
      <w:r w:rsidRPr="00D7637E">
        <w:rPr>
          <w:rFonts w:asciiTheme="minorHAnsi" w:hAnsiTheme="minorHAnsi" w:cstheme="minorHAnsi"/>
          <w:vertAlign w:val="superscript"/>
        </w:rPr>
        <w:t>nd</w:t>
      </w:r>
      <w:r w:rsidRPr="00D7637E">
        <w:rPr>
          <w:rFonts w:asciiTheme="minorHAnsi" w:hAnsiTheme="minorHAnsi" w:cstheme="minorHAnsi"/>
        </w:rPr>
        <w:t xml:space="preserve"> post-race samples from 5 of the ultimately EIA-positive horses.  This finding indicated that </w:t>
      </w:r>
      <w:proofErr w:type="spellStart"/>
      <w:r w:rsidRPr="00D7637E">
        <w:rPr>
          <w:rFonts w:asciiTheme="minorHAnsi" w:hAnsiTheme="minorHAnsi" w:cstheme="minorHAnsi"/>
        </w:rPr>
        <w:t>carmoterol</w:t>
      </w:r>
      <w:proofErr w:type="spellEnd"/>
      <w:r w:rsidRPr="00D7637E">
        <w:rPr>
          <w:rFonts w:asciiTheme="minorHAnsi" w:hAnsiTheme="minorHAnsi" w:cstheme="minorHAnsi"/>
        </w:rPr>
        <w:t xml:space="preserve"> was likely one of the performance enhancing substances in the illicit Robinson’s juice which served as the vehicle of EIA transmission among the affected trainer’s horses.  </w:t>
      </w:r>
    </w:p>
    <w:p w14:paraId="4D34865A" w14:textId="77777777" w:rsidR="00D7637E" w:rsidRPr="00D7637E" w:rsidRDefault="00D7637E" w:rsidP="00D7637E">
      <w:pPr>
        <w:contextualSpacing/>
        <w:rPr>
          <w:rFonts w:asciiTheme="minorHAnsi" w:hAnsiTheme="minorHAnsi" w:cstheme="minorHAnsi"/>
        </w:rPr>
      </w:pPr>
    </w:p>
    <w:p w14:paraId="73130CEC" w14:textId="77777777" w:rsidR="00D7637E" w:rsidRPr="00D7637E" w:rsidRDefault="00D7637E" w:rsidP="00D7637E">
      <w:pPr>
        <w:contextualSpacing/>
        <w:rPr>
          <w:rFonts w:asciiTheme="minorHAnsi" w:hAnsiTheme="minorHAnsi" w:cstheme="minorHAnsi"/>
        </w:rPr>
      </w:pPr>
      <w:r w:rsidRPr="00D7637E">
        <w:rPr>
          <w:rFonts w:asciiTheme="minorHAnsi" w:hAnsiTheme="minorHAnsi" w:cstheme="minorHAnsi"/>
        </w:rPr>
        <w:t xml:space="preserve">A second EIA cluster with widespread media coverage was identified in early 2025 when horses were found EIA infected in an outbreak associated with iatrogenic transmission at an equine veterinary clinic in Texas.  There have been 24 EIA-infected horses found to date in 4 states (California-1, Colorado-1, Oklahoma-4, Texas-18) and all horses became infected while hospitalized at the Texas equine clinic in either May or July/August 2024.  Epidemiological investigation has found the horses became infected through repeated blood-contamination of multiple bottles of heparinized saline being used at the clinic to flush intravenous catheters.  Two pathways involving routine reuse of syringes by multiple employees at the clinic led to blood-contamination of the heparinized saline bottles. The original source of EIA virus in this outbreak was a Quarter Horse racehorse mare participating in </w:t>
      </w:r>
      <w:proofErr w:type="spellStart"/>
      <w:r w:rsidRPr="00D7637E">
        <w:rPr>
          <w:rFonts w:asciiTheme="minorHAnsi" w:hAnsiTheme="minorHAnsi" w:cstheme="minorHAnsi"/>
        </w:rPr>
        <w:t>bushtrack</w:t>
      </w:r>
      <w:proofErr w:type="spellEnd"/>
      <w:r w:rsidRPr="00D7637E">
        <w:rPr>
          <w:rFonts w:asciiTheme="minorHAnsi" w:hAnsiTheme="minorHAnsi" w:cstheme="minorHAnsi"/>
        </w:rPr>
        <w:t xml:space="preserve"> racing who had been admitted to the clinic with clinical signs compatible with acute EIA-infection in May 2024, but she was never tested or diagnosed with EIA.  She died while under the clinic’s care and subsequent testing at her home premises conducted in April 2025 confirmed EIA-infection in 2 other </w:t>
      </w:r>
      <w:proofErr w:type="spellStart"/>
      <w:r w:rsidRPr="00D7637E">
        <w:rPr>
          <w:rFonts w:asciiTheme="minorHAnsi" w:hAnsiTheme="minorHAnsi" w:cstheme="minorHAnsi"/>
        </w:rPr>
        <w:t>bushtrack</w:t>
      </w:r>
      <w:proofErr w:type="spellEnd"/>
      <w:r w:rsidRPr="00D7637E">
        <w:rPr>
          <w:rFonts w:asciiTheme="minorHAnsi" w:hAnsiTheme="minorHAnsi" w:cstheme="minorHAnsi"/>
        </w:rPr>
        <w:t xml:space="preserve"> Quarter Horse racehorses on the property.  Identification and testing of additional exposed horses in this outbreak is ongoing.  </w:t>
      </w:r>
    </w:p>
    <w:p w14:paraId="46049E51" w14:textId="77777777" w:rsidR="00D7637E" w:rsidRPr="00D7637E" w:rsidRDefault="00D7637E" w:rsidP="00D7637E">
      <w:pPr>
        <w:contextualSpacing/>
        <w:rPr>
          <w:rFonts w:asciiTheme="minorHAnsi" w:hAnsiTheme="minorHAnsi" w:cstheme="minorHAnsi"/>
        </w:rPr>
      </w:pPr>
    </w:p>
    <w:p w14:paraId="4E4BDE0D" w14:textId="4573F9F9" w:rsidR="00FB6A3E" w:rsidRDefault="00D7637E" w:rsidP="00EC6FC5">
      <w:pPr>
        <w:contextualSpacing/>
        <w:rPr>
          <w:rFonts w:asciiTheme="minorHAnsi" w:hAnsiTheme="minorHAnsi" w:cstheme="minorHAnsi"/>
        </w:rPr>
      </w:pPr>
      <w:r w:rsidRPr="00D7637E">
        <w:rPr>
          <w:rFonts w:asciiTheme="minorHAnsi" w:hAnsiTheme="minorHAnsi" w:cstheme="minorHAnsi"/>
        </w:rPr>
        <w:t xml:space="preserve">The Committee on Equine (COE) requested an update on the status of USDA-APHIS’s equine viral arteritis (EVA) Uniform Standards.  The 2004 EVA Uniform Methods and Rules has been revised to a Uniform Standards document.  There have been multiple rounds of input on the draft document provided by the COE’s EVA subcommittee and those comments have been incorporated.  The document contains updated EVA diagnostic, surveillance, and response information presented as recommendations to state animal health officials.  It is currently going through the clearance process </w:t>
      </w:r>
      <w:r w:rsidRPr="00D7637E">
        <w:rPr>
          <w:rFonts w:asciiTheme="minorHAnsi" w:hAnsiTheme="minorHAnsi" w:cstheme="minorHAnsi"/>
        </w:rPr>
        <w:lastRenderedPageBreak/>
        <w:t xml:space="preserve">within USDA-APHIS, although an expected timeline for the document’s completed review and approval is not yet available.    </w:t>
      </w:r>
    </w:p>
    <w:p w14:paraId="41585EF9" w14:textId="77777777" w:rsidR="007D6B2B" w:rsidRDefault="007D6B2B" w:rsidP="00EC6FC5">
      <w:pPr>
        <w:contextualSpacing/>
        <w:rPr>
          <w:rFonts w:asciiTheme="minorHAnsi" w:hAnsiTheme="minorHAnsi" w:cstheme="minorHAnsi"/>
        </w:rPr>
      </w:pPr>
    </w:p>
    <w:p w14:paraId="1AB757E8" w14:textId="0C217D34" w:rsidR="007D6B2B" w:rsidRPr="00D7637E" w:rsidRDefault="00925FEE" w:rsidP="00EC6FC5">
      <w:pPr>
        <w:contextualSpacing/>
        <w:rPr>
          <w:rFonts w:asciiTheme="minorHAnsi" w:hAnsiTheme="minorHAnsi" w:cstheme="minorHAnsi"/>
        </w:rPr>
      </w:pPr>
      <w:r w:rsidRPr="00925FEE">
        <w:rPr>
          <w:rFonts w:asciiTheme="minorHAnsi" w:hAnsiTheme="minorHAnsi" w:cstheme="minorHAnsi"/>
        </w:rPr>
        <w:t>Update provided of the vesicular stomatitis virus (VSV) confirmation on October 31, 2025, the National Veterinary Services Laboratories in Ames, Iowa, confirmed findings of vesicular stomatitis New Jersey virus (VSNJV) in horses on two separate premises in Cochise County, Arizona.  One (1) horse, a 21-year-old grade mare, on the first premises met confirmed VSV index case definition with compatible clinical signs and viral genome sequence data indicative of VSNJV on swabs from oral lesions.  There are an additional 52 horses and 120 cattle on the first premises which are not clinically affected.  On a second premises in Cochise County, Arizona, one (1) horse, an 8-year-old Quarter Horse gelding, met confirmed VSV index case definition with compatible clinical signs and viral genome sequence data indicative of VSVNJ on swabs from oral lesions. There are an additional 6 horses and 60 cattle on the second premises which are not clinically affected.  Both premises will remain under state quarantine until at least 14 days from the onset of lesions in the last clinically affected animal on the premises.  These two premises are the 2025 VSV index cases for the United States.</w:t>
      </w:r>
    </w:p>
    <w:p w14:paraId="3F1C9D2D" w14:textId="77777777" w:rsidR="00FB6A3E" w:rsidRPr="00D7637E" w:rsidRDefault="00FB6A3E" w:rsidP="00EC6FC5">
      <w:pPr>
        <w:rPr>
          <w:rFonts w:asciiTheme="minorHAnsi" w:hAnsiTheme="minorHAnsi" w:cstheme="minorHAnsi"/>
          <w:b/>
          <w:bCs/>
          <w:sz w:val="24"/>
          <w:szCs w:val="24"/>
        </w:rPr>
      </w:pPr>
    </w:p>
    <w:p w14:paraId="085BB29D" w14:textId="2650C250" w:rsidR="003C020F" w:rsidRPr="00D7637E" w:rsidRDefault="003C020F" w:rsidP="00EC6FC5">
      <w:pPr>
        <w:rPr>
          <w:rFonts w:asciiTheme="minorHAnsi" w:hAnsiTheme="minorHAnsi" w:cstheme="minorHAnsi"/>
          <w:b/>
          <w:bCs/>
          <w:sz w:val="24"/>
          <w:szCs w:val="24"/>
        </w:rPr>
      </w:pPr>
      <w:r w:rsidRPr="00D7637E">
        <w:rPr>
          <w:rFonts w:asciiTheme="minorHAnsi" w:hAnsiTheme="minorHAnsi" w:cstheme="minorHAnsi"/>
          <w:b/>
          <w:bCs/>
          <w:sz w:val="24"/>
          <w:szCs w:val="24"/>
        </w:rPr>
        <w:t>Point of Care PCR Testing Updates</w:t>
      </w:r>
      <w:r w:rsidRPr="00D7637E">
        <w:rPr>
          <w:rFonts w:asciiTheme="minorHAnsi" w:hAnsiTheme="minorHAnsi" w:cstheme="minorHAnsi"/>
        </w:rPr>
        <w:t xml:space="preserve"> by Eric </w:t>
      </w:r>
      <w:r w:rsidRPr="00D06568">
        <w:rPr>
          <w:rFonts w:asciiTheme="minorHAnsi" w:hAnsiTheme="minorHAnsi" w:cstheme="minorHAnsi"/>
        </w:rPr>
        <w:t>Mendonsa</w:t>
      </w:r>
      <w:r w:rsidRPr="00D06568">
        <w:rPr>
          <w:rFonts w:asciiTheme="minorHAnsi" w:hAnsiTheme="minorHAnsi" w:cstheme="minorHAnsi"/>
          <w:sz w:val="24"/>
          <w:szCs w:val="24"/>
        </w:rPr>
        <w:t xml:space="preserve"> </w:t>
      </w:r>
      <w:r w:rsidR="00D06568" w:rsidRPr="00D06568">
        <w:rPr>
          <w:rFonts w:asciiTheme="minorHAnsi" w:hAnsiTheme="minorHAnsi" w:cstheme="minorHAnsi"/>
          <w:sz w:val="24"/>
          <w:szCs w:val="24"/>
        </w:rPr>
        <w:t>and Nick Tran</w:t>
      </w:r>
      <w:r w:rsidR="003A2674">
        <w:rPr>
          <w:rFonts w:asciiTheme="minorHAnsi" w:hAnsiTheme="minorHAnsi" w:cstheme="minorHAnsi"/>
          <w:sz w:val="24"/>
          <w:szCs w:val="24"/>
        </w:rPr>
        <w:t xml:space="preserve">, </w:t>
      </w:r>
      <w:proofErr w:type="spellStart"/>
      <w:r w:rsidR="003A2674">
        <w:rPr>
          <w:rFonts w:asciiTheme="minorHAnsi" w:hAnsiTheme="minorHAnsi" w:cstheme="minorHAnsi"/>
          <w:sz w:val="24"/>
          <w:szCs w:val="24"/>
        </w:rPr>
        <w:t>Fluxergy</w:t>
      </w:r>
      <w:proofErr w:type="spellEnd"/>
    </w:p>
    <w:p w14:paraId="66B339C1" w14:textId="77777777" w:rsidR="003C020F" w:rsidRPr="00D7637E" w:rsidRDefault="003C020F" w:rsidP="00EC6FC5">
      <w:pPr>
        <w:rPr>
          <w:rFonts w:asciiTheme="minorHAnsi" w:hAnsiTheme="minorHAnsi" w:cstheme="minorHAnsi"/>
          <w:b/>
          <w:bCs/>
          <w:sz w:val="24"/>
          <w:szCs w:val="24"/>
        </w:rPr>
      </w:pPr>
    </w:p>
    <w:p w14:paraId="20AF9C31" w14:textId="10597051" w:rsidR="00D06568" w:rsidRPr="00D06568" w:rsidRDefault="00D06568" w:rsidP="00D06568">
      <w:pPr>
        <w:rPr>
          <w:rFonts w:asciiTheme="minorHAnsi" w:hAnsiTheme="minorHAnsi" w:cstheme="minorHAnsi"/>
          <w:sz w:val="24"/>
          <w:szCs w:val="24"/>
        </w:rPr>
      </w:pPr>
      <w:proofErr w:type="spellStart"/>
      <w:r w:rsidRPr="00D06568">
        <w:rPr>
          <w:rFonts w:asciiTheme="minorHAnsi" w:hAnsiTheme="minorHAnsi" w:cstheme="minorHAnsi"/>
          <w:sz w:val="24"/>
          <w:szCs w:val="24"/>
        </w:rPr>
        <w:t>Fluxergy</w:t>
      </w:r>
      <w:proofErr w:type="spellEnd"/>
      <w:r w:rsidRPr="00D06568">
        <w:rPr>
          <w:rFonts w:asciiTheme="minorHAnsi" w:hAnsiTheme="minorHAnsi" w:cstheme="minorHAnsi"/>
          <w:sz w:val="24"/>
          <w:szCs w:val="24"/>
        </w:rPr>
        <w:t xml:space="preserve"> </w:t>
      </w:r>
      <w:r w:rsidR="003A2674">
        <w:rPr>
          <w:rFonts w:asciiTheme="minorHAnsi" w:hAnsiTheme="minorHAnsi" w:cstheme="minorHAnsi"/>
          <w:sz w:val="24"/>
          <w:szCs w:val="24"/>
        </w:rPr>
        <w:t xml:space="preserve">provided </w:t>
      </w:r>
      <w:r w:rsidRPr="00D06568">
        <w:rPr>
          <w:rFonts w:asciiTheme="minorHAnsi" w:hAnsiTheme="minorHAnsi" w:cstheme="minorHAnsi"/>
          <w:sz w:val="24"/>
          <w:szCs w:val="24"/>
        </w:rPr>
        <w:t>update on the development and regulatory compliance journey for P</w:t>
      </w:r>
      <w:r w:rsidR="003A2674">
        <w:rPr>
          <w:rFonts w:asciiTheme="minorHAnsi" w:hAnsiTheme="minorHAnsi" w:cstheme="minorHAnsi"/>
          <w:sz w:val="24"/>
          <w:szCs w:val="24"/>
        </w:rPr>
        <w:t>oint of Care (P</w:t>
      </w:r>
      <w:r w:rsidRPr="00D06568">
        <w:rPr>
          <w:rFonts w:asciiTheme="minorHAnsi" w:hAnsiTheme="minorHAnsi" w:cstheme="minorHAnsi"/>
          <w:sz w:val="24"/>
          <w:szCs w:val="24"/>
        </w:rPr>
        <w:t>OC</w:t>
      </w:r>
      <w:r w:rsidR="003A2674">
        <w:rPr>
          <w:rFonts w:asciiTheme="minorHAnsi" w:hAnsiTheme="minorHAnsi" w:cstheme="minorHAnsi"/>
          <w:sz w:val="24"/>
          <w:szCs w:val="24"/>
        </w:rPr>
        <w:t>)</w:t>
      </w:r>
      <w:r w:rsidRPr="00D06568">
        <w:rPr>
          <w:rFonts w:asciiTheme="minorHAnsi" w:hAnsiTheme="minorHAnsi" w:cstheme="minorHAnsi"/>
          <w:sz w:val="24"/>
          <w:szCs w:val="24"/>
        </w:rPr>
        <w:t xml:space="preserve"> PCR platform and assays for the equine industry. Specifically, </w:t>
      </w:r>
      <w:proofErr w:type="spellStart"/>
      <w:r w:rsidRPr="00D06568">
        <w:rPr>
          <w:rFonts w:asciiTheme="minorHAnsi" w:hAnsiTheme="minorHAnsi" w:cstheme="minorHAnsi"/>
          <w:sz w:val="24"/>
          <w:szCs w:val="24"/>
        </w:rPr>
        <w:t>Fluxergy</w:t>
      </w:r>
      <w:proofErr w:type="spellEnd"/>
      <w:r w:rsidRPr="00D06568">
        <w:rPr>
          <w:rFonts w:asciiTheme="minorHAnsi" w:hAnsiTheme="minorHAnsi" w:cstheme="minorHAnsi"/>
          <w:sz w:val="24"/>
          <w:szCs w:val="24"/>
        </w:rPr>
        <w:t xml:space="preserve"> reaffirm</w:t>
      </w:r>
      <w:r w:rsidR="003A2674">
        <w:rPr>
          <w:rFonts w:asciiTheme="minorHAnsi" w:hAnsiTheme="minorHAnsi" w:cstheme="minorHAnsi"/>
          <w:sz w:val="24"/>
          <w:szCs w:val="24"/>
        </w:rPr>
        <w:t>ed</w:t>
      </w:r>
      <w:r w:rsidRPr="00D06568">
        <w:rPr>
          <w:rFonts w:asciiTheme="minorHAnsi" w:hAnsiTheme="minorHAnsi" w:cstheme="minorHAnsi"/>
          <w:sz w:val="24"/>
          <w:szCs w:val="24"/>
        </w:rPr>
        <w:t xml:space="preserve"> commitment to support USAHA, states, and USDA CVB requirements.</w:t>
      </w:r>
    </w:p>
    <w:p w14:paraId="0C07C0F2" w14:textId="77777777" w:rsidR="00D06568" w:rsidRPr="00D06568" w:rsidRDefault="00D06568" w:rsidP="00D06568">
      <w:pPr>
        <w:rPr>
          <w:rFonts w:asciiTheme="minorHAnsi" w:hAnsiTheme="minorHAnsi" w:cstheme="minorHAnsi"/>
          <w:sz w:val="24"/>
          <w:szCs w:val="24"/>
        </w:rPr>
      </w:pPr>
      <w:proofErr w:type="spellStart"/>
      <w:r w:rsidRPr="00D06568">
        <w:rPr>
          <w:rFonts w:asciiTheme="minorHAnsi" w:hAnsiTheme="minorHAnsi" w:cstheme="minorHAnsi"/>
          <w:sz w:val="24"/>
          <w:szCs w:val="24"/>
        </w:rPr>
        <w:t>Fluxergy’s</w:t>
      </w:r>
      <w:proofErr w:type="spellEnd"/>
      <w:r w:rsidRPr="00D06568">
        <w:rPr>
          <w:rFonts w:asciiTheme="minorHAnsi" w:hAnsiTheme="minorHAnsi" w:cstheme="minorHAnsi"/>
          <w:sz w:val="24"/>
          <w:szCs w:val="24"/>
        </w:rPr>
        <w:t xml:space="preserve"> Journey in Equine Laboratory Testing</w:t>
      </w:r>
    </w:p>
    <w:p w14:paraId="2081BFC9" w14:textId="77777777" w:rsidR="00D06568" w:rsidRPr="00D06568" w:rsidRDefault="00D06568" w:rsidP="00D06568">
      <w:pPr>
        <w:numPr>
          <w:ilvl w:val="0"/>
          <w:numId w:val="15"/>
        </w:numPr>
        <w:rPr>
          <w:rFonts w:asciiTheme="minorHAnsi" w:hAnsiTheme="minorHAnsi" w:cstheme="minorHAnsi"/>
          <w:sz w:val="24"/>
          <w:szCs w:val="24"/>
        </w:rPr>
      </w:pPr>
      <w:r w:rsidRPr="00D06568">
        <w:rPr>
          <w:rFonts w:asciiTheme="minorHAnsi" w:hAnsiTheme="minorHAnsi" w:cstheme="minorHAnsi"/>
          <w:sz w:val="24"/>
          <w:szCs w:val="24"/>
        </w:rPr>
        <w:t>The first rapid on-site PCR analyzer for equine practice laboratories</w:t>
      </w:r>
    </w:p>
    <w:p w14:paraId="2CA73A84" w14:textId="77777777" w:rsidR="00D06568" w:rsidRPr="00D06568" w:rsidRDefault="00D06568" w:rsidP="00D06568">
      <w:pPr>
        <w:numPr>
          <w:ilvl w:val="0"/>
          <w:numId w:val="15"/>
        </w:numPr>
        <w:rPr>
          <w:rFonts w:asciiTheme="minorHAnsi" w:hAnsiTheme="minorHAnsi" w:cstheme="minorHAnsi"/>
          <w:sz w:val="24"/>
          <w:szCs w:val="24"/>
        </w:rPr>
      </w:pPr>
      <w:r w:rsidRPr="00D06568">
        <w:rPr>
          <w:rFonts w:asciiTheme="minorHAnsi" w:hAnsiTheme="minorHAnsi" w:cstheme="minorHAnsi"/>
          <w:sz w:val="24"/>
          <w:szCs w:val="24"/>
        </w:rPr>
        <w:t>8 years in the equine veterinary R&amp;D</w:t>
      </w:r>
    </w:p>
    <w:p w14:paraId="267CB225" w14:textId="77777777" w:rsidR="00D06568" w:rsidRPr="00D06568" w:rsidRDefault="00D06568" w:rsidP="00D06568">
      <w:pPr>
        <w:numPr>
          <w:ilvl w:val="0"/>
          <w:numId w:val="15"/>
        </w:numPr>
        <w:rPr>
          <w:rFonts w:asciiTheme="minorHAnsi" w:hAnsiTheme="minorHAnsi" w:cstheme="minorHAnsi"/>
          <w:sz w:val="24"/>
          <w:szCs w:val="24"/>
        </w:rPr>
      </w:pPr>
      <w:r w:rsidRPr="00D06568">
        <w:rPr>
          <w:rFonts w:asciiTheme="minorHAnsi" w:hAnsiTheme="minorHAnsi" w:cstheme="minorHAnsi"/>
          <w:sz w:val="24"/>
          <w:szCs w:val="24"/>
        </w:rPr>
        <w:t>130 equine practices installed to date</w:t>
      </w:r>
    </w:p>
    <w:p w14:paraId="18CB0744" w14:textId="77777777" w:rsidR="00D06568" w:rsidRPr="00D06568" w:rsidRDefault="00D06568" w:rsidP="00D06568">
      <w:pPr>
        <w:numPr>
          <w:ilvl w:val="0"/>
          <w:numId w:val="15"/>
        </w:numPr>
        <w:rPr>
          <w:rFonts w:asciiTheme="minorHAnsi" w:hAnsiTheme="minorHAnsi" w:cstheme="minorHAnsi"/>
          <w:sz w:val="24"/>
          <w:szCs w:val="24"/>
        </w:rPr>
      </w:pPr>
      <w:r w:rsidRPr="00D06568">
        <w:rPr>
          <w:rFonts w:asciiTheme="minorHAnsi" w:hAnsiTheme="minorHAnsi" w:cstheme="minorHAnsi"/>
          <w:sz w:val="24"/>
          <w:szCs w:val="24"/>
        </w:rPr>
        <w:t>4 assays available including Equine Multiplex Panel (RUO)</w:t>
      </w:r>
    </w:p>
    <w:p w14:paraId="3FE27CAB" w14:textId="77777777" w:rsidR="00D06568" w:rsidRPr="00D06568" w:rsidRDefault="00D06568" w:rsidP="00D06568">
      <w:pPr>
        <w:numPr>
          <w:ilvl w:val="0"/>
          <w:numId w:val="15"/>
        </w:numPr>
        <w:rPr>
          <w:rFonts w:asciiTheme="minorHAnsi" w:hAnsiTheme="minorHAnsi" w:cstheme="minorHAnsi"/>
          <w:sz w:val="24"/>
          <w:szCs w:val="24"/>
        </w:rPr>
      </w:pPr>
      <w:r w:rsidRPr="00D06568">
        <w:rPr>
          <w:rFonts w:asciiTheme="minorHAnsi" w:hAnsiTheme="minorHAnsi" w:cstheme="minorHAnsi"/>
          <w:sz w:val="24"/>
          <w:szCs w:val="24"/>
        </w:rPr>
        <w:t>2 Active USDA Licensing submissions</w:t>
      </w:r>
    </w:p>
    <w:p w14:paraId="6ED5721A" w14:textId="77777777" w:rsidR="00D06568" w:rsidRPr="00D06568" w:rsidRDefault="00D06568" w:rsidP="00D06568">
      <w:pPr>
        <w:numPr>
          <w:ilvl w:val="0"/>
          <w:numId w:val="15"/>
        </w:numPr>
        <w:rPr>
          <w:rFonts w:asciiTheme="minorHAnsi" w:hAnsiTheme="minorHAnsi" w:cstheme="minorHAnsi"/>
          <w:sz w:val="24"/>
          <w:szCs w:val="24"/>
        </w:rPr>
      </w:pPr>
      <w:r w:rsidRPr="00D06568">
        <w:rPr>
          <w:rFonts w:asciiTheme="minorHAnsi" w:hAnsiTheme="minorHAnsi" w:cstheme="minorHAnsi"/>
          <w:sz w:val="24"/>
          <w:szCs w:val="24"/>
        </w:rPr>
        <w:t>Compliance to ISO 13485, FDA 21CFR and USDA 9CFR</w:t>
      </w:r>
    </w:p>
    <w:p w14:paraId="0D874250" w14:textId="77777777" w:rsidR="00D06568" w:rsidRPr="00D06568" w:rsidRDefault="00D06568" w:rsidP="00D06568">
      <w:pPr>
        <w:rPr>
          <w:rFonts w:asciiTheme="minorHAnsi" w:hAnsiTheme="minorHAnsi" w:cstheme="minorHAnsi"/>
          <w:sz w:val="24"/>
          <w:szCs w:val="24"/>
        </w:rPr>
      </w:pPr>
    </w:p>
    <w:p w14:paraId="1907BC13" w14:textId="77777777" w:rsidR="00D06568" w:rsidRPr="00D06568" w:rsidRDefault="00D06568" w:rsidP="00D06568">
      <w:pPr>
        <w:rPr>
          <w:rFonts w:asciiTheme="minorHAnsi" w:hAnsiTheme="minorHAnsi" w:cstheme="minorHAnsi"/>
          <w:sz w:val="24"/>
          <w:szCs w:val="24"/>
        </w:rPr>
      </w:pPr>
      <w:proofErr w:type="spellStart"/>
      <w:r w:rsidRPr="00D06568">
        <w:rPr>
          <w:rFonts w:asciiTheme="minorHAnsi" w:hAnsiTheme="minorHAnsi" w:cstheme="minorHAnsi"/>
          <w:sz w:val="24"/>
          <w:szCs w:val="24"/>
        </w:rPr>
        <w:t>Fluxergy’s</w:t>
      </w:r>
      <w:proofErr w:type="spellEnd"/>
      <w:r w:rsidRPr="00D06568">
        <w:rPr>
          <w:rFonts w:asciiTheme="minorHAnsi" w:hAnsiTheme="minorHAnsi" w:cstheme="minorHAnsi"/>
          <w:sz w:val="24"/>
          <w:szCs w:val="24"/>
        </w:rPr>
        <w:t xml:space="preserve"> Commitment to USAHA can be illustrated in how </w:t>
      </w:r>
      <w:proofErr w:type="spellStart"/>
      <w:r w:rsidRPr="00D06568">
        <w:rPr>
          <w:rFonts w:asciiTheme="minorHAnsi" w:hAnsiTheme="minorHAnsi" w:cstheme="minorHAnsi"/>
          <w:sz w:val="24"/>
          <w:szCs w:val="24"/>
        </w:rPr>
        <w:t>Fluxergy</w:t>
      </w:r>
      <w:proofErr w:type="spellEnd"/>
      <w:r w:rsidRPr="00D06568">
        <w:rPr>
          <w:rFonts w:asciiTheme="minorHAnsi" w:hAnsiTheme="minorHAnsi" w:cstheme="minorHAnsi"/>
          <w:sz w:val="24"/>
          <w:szCs w:val="24"/>
        </w:rPr>
        <w:t xml:space="preserve"> supports USAHA’s 2024 POCT Resolution #8 (“sale or use of POCT for an equine disease listed on the USDA National List of Reportable Animal Diseases be restricted to licensed and accredited veterinarians”):</w:t>
      </w:r>
    </w:p>
    <w:p w14:paraId="58C6E38B" w14:textId="01F4EEC8" w:rsidR="00D06568" w:rsidRPr="00D06568" w:rsidRDefault="00D06568" w:rsidP="00D06568">
      <w:pPr>
        <w:numPr>
          <w:ilvl w:val="0"/>
          <w:numId w:val="16"/>
        </w:numPr>
        <w:rPr>
          <w:rFonts w:asciiTheme="minorHAnsi" w:hAnsiTheme="minorHAnsi" w:cstheme="minorHAnsi"/>
          <w:sz w:val="24"/>
          <w:szCs w:val="24"/>
        </w:rPr>
      </w:pPr>
      <w:proofErr w:type="spellStart"/>
      <w:r w:rsidRPr="00D06568">
        <w:rPr>
          <w:rFonts w:asciiTheme="minorHAnsi" w:hAnsiTheme="minorHAnsi" w:cstheme="minorHAnsi"/>
          <w:sz w:val="24"/>
          <w:szCs w:val="24"/>
        </w:rPr>
        <w:t>Fluxergy</w:t>
      </w:r>
      <w:proofErr w:type="spellEnd"/>
      <w:r w:rsidRPr="00D06568">
        <w:rPr>
          <w:rFonts w:asciiTheme="minorHAnsi" w:hAnsiTheme="minorHAnsi" w:cstheme="minorHAnsi"/>
          <w:sz w:val="24"/>
          <w:szCs w:val="24"/>
        </w:rPr>
        <w:t xml:space="preserve"> software now includes Sample Details with Veterinarian Name.</w:t>
      </w:r>
    </w:p>
    <w:p w14:paraId="61141FA4" w14:textId="74239437" w:rsidR="00D06568" w:rsidRPr="00D06568" w:rsidRDefault="00D06568" w:rsidP="00D06568">
      <w:pPr>
        <w:numPr>
          <w:ilvl w:val="0"/>
          <w:numId w:val="16"/>
        </w:numPr>
        <w:rPr>
          <w:rFonts w:asciiTheme="minorHAnsi" w:hAnsiTheme="minorHAnsi" w:cstheme="minorHAnsi"/>
          <w:sz w:val="24"/>
          <w:szCs w:val="24"/>
        </w:rPr>
      </w:pPr>
      <w:r w:rsidRPr="00D06568">
        <w:rPr>
          <w:rFonts w:asciiTheme="minorHAnsi" w:hAnsiTheme="minorHAnsi" w:cstheme="minorHAnsi"/>
          <w:sz w:val="24"/>
          <w:szCs w:val="24"/>
        </w:rPr>
        <w:t xml:space="preserve">All current equine practices that use </w:t>
      </w:r>
      <w:proofErr w:type="spellStart"/>
      <w:r w:rsidRPr="00D06568">
        <w:rPr>
          <w:rFonts w:asciiTheme="minorHAnsi" w:hAnsiTheme="minorHAnsi" w:cstheme="minorHAnsi"/>
          <w:sz w:val="24"/>
          <w:szCs w:val="24"/>
        </w:rPr>
        <w:t>Fluxergy</w:t>
      </w:r>
      <w:proofErr w:type="spellEnd"/>
      <w:r w:rsidRPr="00D06568">
        <w:rPr>
          <w:rFonts w:asciiTheme="minorHAnsi" w:hAnsiTheme="minorHAnsi" w:cstheme="minorHAnsi"/>
          <w:sz w:val="24"/>
          <w:szCs w:val="24"/>
        </w:rPr>
        <w:t xml:space="preserve"> RUO POCT have an assigned</w:t>
      </w:r>
      <w:r w:rsidR="007D6B2B">
        <w:rPr>
          <w:rFonts w:asciiTheme="minorHAnsi" w:hAnsiTheme="minorHAnsi" w:cstheme="minorHAnsi"/>
          <w:sz w:val="24"/>
          <w:szCs w:val="24"/>
        </w:rPr>
        <w:t>, accredited</w:t>
      </w:r>
      <w:r w:rsidRPr="00D06568">
        <w:rPr>
          <w:rFonts w:asciiTheme="minorHAnsi" w:hAnsiTheme="minorHAnsi" w:cstheme="minorHAnsi"/>
          <w:sz w:val="24"/>
          <w:szCs w:val="24"/>
        </w:rPr>
        <w:t xml:space="preserve"> veterinarian.</w:t>
      </w:r>
    </w:p>
    <w:p w14:paraId="5C0EAFBE" w14:textId="77777777" w:rsidR="00D06568" w:rsidRPr="00D06568" w:rsidRDefault="00D06568" w:rsidP="00D06568">
      <w:pPr>
        <w:rPr>
          <w:rFonts w:asciiTheme="minorHAnsi" w:hAnsiTheme="minorHAnsi" w:cstheme="minorHAnsi"/>
          <w:sz w:val="24"/>
          <w:szCs w:val="24"/>
        </w:rPr>
      </w:pPr>
    </w:p>
    <w:p w14:paraId="3A78EBB5" w14:textId="77777777" w:rsidR="00D06568" w:rsidRPr="00D06568" w:rsidRDefault="00D06568" w:rsidP="00D06568">
      <w:pPr>
        <w:rPr>
          <w:rFonts w:asciiTheme="minorHAnsi" w:hAnsiTheme="minorHAnsi" w:cstheme="minorHAnsi"/>
          <w:sz w:val="24"/>
          <w:szCs w:val="24"/>
        </w:rPr>
      </w:pPr>
      <w:r w:rsidRPr="00D06568">
        <w:rPr>
          <w:rFonts w:asciiTheme="minorHAnsi" w:hAnsiTheme="minorHAnsi" w:cstheme="minorHAnsi"/>
          <w:sz w:val="24"/>
          <w:szCs w:val="24"/>
        </w:rPr>
        <w:t>Compliance and Collaboration:</w:t>
      </w:r>
    </w:p>
    <w:p w14:paraId="4BF756DF" w14:textId="77777777" w:rsidR="00D06568" w:rsidRPr="00D06568" w:rsidRDefault="00D06568" w:rsidP="003A2674">
      <w:pPr>
        <w:numPr>
          <w:ilvl w:val="0"/>
          <w:numId w:val="17"/>
        </w:numPr>
        <w:tabs>
          <w:tab w:val="num" w:pos="720"/>
        </w:tabs>
        <w:ind w:hanging="720"/>
        <w:rPr>
          <w:rFonts w:asciiTheme="minorHAnsi" w:hAnsiTheme="minorHAnsi" w:cstheme="minorHAnsi"/>
          <w:sz w:val="24"/>
          <w:szCs w:val="24"/>
        </w:rPr>
      </w:pPr>
      <w:r w:rsidRPr="00D06568">
        <w:rPr>
          <w:rFonts w:asciiTheme="minorHAnsi" w:hAnsiTheme="minorHAnsi" w:cstheme="minorHAnsi"/>
          <w:sz w:val="24"/>
          <w:szCs w:val="24"/>
        </w:rPr>
        <w:t>Continue pursuit of biologics licensure with USDA CVB under VSM 800.73:</w:t>
      </w:r>
    </w:p>
    <w:p w14:paraId="6ACC73DD" w14:textId="77777777" w:rsidR="00D06568" w:rsidRPr="00D06568" w:rsidRDefault="00D06568" w:rsidP="00D06568">
      <w:pPr>
        <w:numPr>
          <w:ilvl w:val="0"/>
          <w:numId w:val="18"/>
        </w:numPr>
        <w:rPr>
          <w:rFonts w:asciiTheme="minorHAnsi" w:hAnsiTheme="minorHAnsi" w:cstheme="minorHAnsi"/>
          <w:sz w:val="24"/>
          <w:szCs w:val="24"/>
        </w:rPr>
      </w:pPr>
      <w:r w:rsidRPr="00D06568">
        <w:rPr>
          <w:rFonts w:asciiTheme="minorHAnsi" w:hAnsiTheme="minorHAnsi" w:cstheme="minorHAnsi"/>
          <w:sz w:val="24"/>
          <w:szCs w:val="24"/>
        </w:rPr>
        <w:t>Development studies are near completion (</w:t>
      </w:r>
      <w:proofErr w:type="spellStart"/>
      <w:r w:rsidRPr="00D06568">
        <w:rPr>
          <w:rFonts w:asciiTheme="minorHAnsi" w:hAnsiTheme="minorHAnsi" w:cstheme="minorHAnsi"/>
          <w:sz w:val="24"/>
          <w:szCs w:val="24"/>
        </w:rPr>
        <w:t>LoD</w:t>
      </w:r>
      <w:proofErr w:type="spellEnd"/>
      <w:r w:rsidRPr="00D06568">
        <w:rPr>
          <w:rFonts w:asciiTheme="minorHAnsi" w:hAnsiTheme="minorHAnsi" w:cstheme="minorHAnsi"/>
          <w:sz w:val="24"/>
          <w:szCs w:val="24"/>
        </w:rPr>
        <w:t>, Analytical Specificity, Ruggedness)</w:t>
      </w:r>
    </w:p>
    <w:p w14:paraId="4085D0BC" w14:textId="77777777" w:rsidR="00D06568" w:rsidRPr="00D06568" w:rsidRDefault="00D06568" w:rsidP="00D06568">
      <w:pPr>
        <w:numPr>
          <w:ilvl w:val="0"/>
          <w:numId w:val="18"/>
        </w:numPr>
        <w:rPr>
          <w:rFonts w:asciiTheme="minorHAnsi" w:hAnsiTheme="minorHAnsi" w:cstheme="minorHAnsi"/>
          <w:sz w:val="24"/>
          <w:szCs w:val="24"/>
        </w:rPr>
      </w:pPr>
      <w:r w:rsidRPr="00D06568">
        <w:rPr>
          <w:rFonts w:asciiTheme="minorHAnsi" w:hAnsiTheme="minorHAnsi" w:cstheme="minorHAnsi"/>
          <w:sz w:val="24"/>
          <w:szCs w:val="24"/>
        </w:rPr>
        <w:t>Verification studies are being planned (Serial Release, Confirmation of Dating, Diagnostics Sensitivity/Specificity, Interlaboratory Comparison)</w:t>
      </w:r>
    </w:p>
    <w:p w14:paraId="68A5820E" w14:textId="77777777" w:rsidR="00D06568" w:rsidRPr="00D06568" w:rsidRDefault="00D06568" w:rsidP="003A2674">
      <w:pPr>
        <w:numPr>
          <w:ilvl w:val="0"/>
          <w:numId w:val="17"/>
        </w:numPr>
        <w:tabs>
          <w:tab w:val="clear" w:pos="1080"/>
          <w:tab w:val="num" w:pos="720"/>
          <w:tab w:val="num" w:pos="990"/>
        </w:tabs>
        <w:ind w:left="720"/>
        <w:rPr>
          <w:rFonts w:asciiTheme="minorHAnsi" w:hAnsiTheme="minorHAnsi" w:cstheme="minorHAnsi"/>
          <w:sz w:val="24"/>
          <w:szCs w:val="24"/>
        </w:rPr>
      </w:pPr>
      <w:r w:rsidRPr="00D06568">
        <w:rPr>
          <w:rFonts w:asciiTheme="minorHAnsi" w:hAnsiTheme="minorHAnsi" w:cstheme="minorHAnsi"/>
          <w:sz w:val="24"/>
          <w:szCs w:val="24"/>
        </w:rPr>
        <w:t xml:space="preserve">From customer’s onboarding through continuous education, </w:t>
      </w:r>
      <w:proofErr w:type="spellStart"/>
      <w:r w:rsidRPr="00D06568">
        <w:rPr>
          <w:rFonts w:asciiTheme="minorHAnsi" w:hAnsiTheme="minorHAnsi" w:cstheme="minorHAnsi"/>
          <w:sz w:val="24"/>
          <w:szCs w:val="24"/>
        </w:rPr>
        <w:t>Fluxergy</w:t>
      </w:r>
      <w:proofErr w:type="spellEnd"/>
      <w:r w:rsidRPr="00D06568">
        <w:rPr>
          <w:rFonts w:asciiTheme="minorHAnsi" w:hAnsiTheme="minorHAnsi" w:cstheme="minorHAnsi"/>
          <w:sz w:val="24"/>
          <w:szCs w:val="24"/>
        </w:rPr>
        <w:t xml:space="preserve"> emphasizes on meeting compliance requirements with both USDA and state authorities, especially for equine reportable diseases.</w:t>
      </w:r>
    </w:p>
    <w:p w14:paraId="307B310C" w14:textId="77777777" w:rsidR="00D06568" w:rsidRPr="00D06568" w:rsidRDefault="00D06568" w:rsidP="003A2674">
      <w:pPr>
        <w:numPr>
          <w:ilvl w:val="0"/>
          <w:numId w:val="17"/>
        </w:numPr>
        <w:tabs>
          <w:tab w:val="num" w:pos="720"/>
        </w:tabs>
        <w:ind w:hanging="720"/>
        <w:rPr>
          <w:rFonts w:asciiTheme="minorHAnsi" w:hAnsiTheme="minorHAnsi" w:cstheme="minorHAnsi"/>
          <w:sz w:val="24"/>
          <w:szCs w:val="24"/>
        </w:rPr>
      </w:pPr>
      <w:proofErr w:type="spellStart"/>
      <w:r w:rsidRPr="00D06568">
        <w:rPr>
          <w:rFonts w:asciiTheme="minorHAnsi" w:hAnsiTheme="minorHAnsi" w:cstheme="minorHAnsi"/>
          <w:sz w:val="24"/>
          <w:szCs w:val="24"/>
        </w:rPr>
        <w:lastRenderedPageBreak/>
        <w:t>Fluxergy</w:t>
      </w:r>
      <w:proofErr w:type="spellEnd"/>
      <w:r w:rsidRPr="00D06568">
        <w:rPr>
          <w:rFonts w:asciiTheme="minorHAnsi" w:hAnsiTheme="minorHAnsi" w:cstheme="minorHAnsi"/>
          <w:sz w:val="24"/>
          <w:szCs w:val="24"/>
        </w:rPr>
        <w:t xml:space="preserve"> continues active engagement with CVB and state animal health officials for transparency and alignment.</w:t>
      </w:r>
    </w:p>
    <w:p w14:paraId="01156AA9" w14:textId="1A9120AA" w:rsidR="00D06568" w:rsidRPr="00D06568" w:rsidRDefault="00D06568" w:rsidP="003A2674">
      <w:pPr>
        <w:numPr>
          <w:ilvl w:val="0"/>
          <w:numId w:val="17"/>
        </w:numPr>
        <w:tabs>
          <w:tab w:val="num" w:pos="720"/>
        </w:tabs>
        <w:ind w:hanging="720"/>
        <w:rPr>
          <w:rFonts w:asciiTheme="minorHAnsi" w:hAnsiTheme="minorHAnsi" w:cstheme="minorHAnsi"/>
          <w:sz w:val="24"/>
          <w:szCs w:val="24"/>
        </w:rPr>
      </w:pPr>
      <w:proofErr w:type="spellStart"/>
      <w:r w:rsidRPr="00D06568">
        <w:rPr>
          <w:rFonts w:asciiTheme="minorHAnsi" w:hAnsiTheme="minorHAnsi" w:cstheme="minorHAnsi"/>
          <w:sz w:val="24"/>
          <w:szCs w:val="24"/>
        </w:rPr>
        <w:t>Fluxergy</w:t>
      </w:r>
      <w:proofErr w:type="spellEnd"/>
      <w:r w:rsidRPr="00D06568">
        <w:rPr>
          <w:rFonts w:asciiTheme="minorHAnsi" w:hAnsiTheme="minorHAnsi" w:cstheme="minorHAnsi"/>
          <w:sz w:val="24"/>
          <w:szCs w:val="24"/>
        </w:rPr>
        <w:t xml:space="preserve"> is an active member of Association of Veterinary Biologics Companies</w:t>
      </w:r>
      <w:r w:rsidR="003A2674">
        <w:rPr>
          <w:rFonts w:asciiTheme="minorHAnsi" w:hAnsiTheme="minorHAnsi" w:cstheme="minorHAnsi"/>
          <w:sz w:val="24"/>
          <w:szCs w:val="24"/>
        </w:rPr>
        <w:t xml:space="preserve"> (AVBC)</w:t>
      </w:r>
      <w:r w:rsidRPr="00D06568">
        <w:rPr>
          <w:rFonts w:asciiTheme="minorHAnsi" w:hAnsiTheme="minorHAnsi" w:cstheme="minorHAnsi"/>
          <w:sz w:val="24"/>
          <w:szCs w:val="24"/>
        </w:rPr>
        <w:t>, a true advocate for the veterinary biologics industry.</w:t>
      </w:r>
    </w:p>
    <w:p w14:paraId="2DA98BF2" w14:textId="77777777" w:rsidR="00D06568" w:rsidRPr="00D06568" w:rsidRDefault="00D06568" w:rsidP="00D06568">
      <w:pPr>
        <w:rPr>
          <w:rFonts w:asciiTheme="minorHAnsi" w:hAnsiTheme="minorHAnsi" w:cstheme="minorHAnsi"/>
          <w:sz w:val="24"/>
          <w:szCs w:val="24"/>
        </w:rPr>
      </w:pPr>
    </w:p>
    <w:p w14:paraId="5C6A7F62" w14:textId="77777777" w:rsidR="00D06568" w:rsidRPr="00D06568" w:rsidRDefault="00D06568" w:rsidP="00D06568">
      <w:pPr>
        <w:rPr>
          <w:rFonts w:asciiTheme="minorHAnsi" w:hAnsiTheme="minorHAnsi" w:cstheme="minorHAnsi"/>
          <w:sz w:val="24"/>
          <w:szCs w:val="24"/>
        </w:rPr>
      </w:pPr>
      <w:proofErr w:type="spellStart"/>
      <w:r w:rsidRPr="00D06568">
        <w:rPr>
          <w:rFonts w:asciiTheme="minorHAnsi" w:hAnsiTheme="minorHAnsi" w:cstheme="minorHAnsi"/>
          <w:sz w:val="24"/>
          <w:szCs w:val="24"/>
        </w:rPr>
        <w:t>Fluxergy</w:t>
      </w:r>
      <w:proofErr w:type="spellEnd"/>
      <w:r w:rsidRPr="00D06568">
        <w:rPr>
          <w:rFonts w:asciiTheme="minorHAnsi" w:hAnsiTheme="minorHAnsi" w:cstheme="minorHAnsi"/>
          <w:sz w:val="24"/>
          <w:szCs w:val="24"/>
        </w:rPr>
        <w:t xml:space="preserve"> is open and excited to have a conversation with all stakeholders to help facilitate access to reliable data:</w:t>
      </w:r>
    </w:p>
    <w:p w14:paraId="7CA5A7FB" w14:textId="77777777" w:rsidR="00D06568" w:rsidRPr="00D06568" w:rsidRDefault="00D06568" w:rsidP="003A2674">
      <w:pPr>
        <w:numPr>
          <w:ilvl w:val="0"/>
          <w:numId w:val="19"/>
        </w:numPr>
        <w:ind w:left="720"/>
        <w:rPr>
          <w:rFonts w:asciiTheme="minorHAnsi" w:hAnsiTheme="minorHAnsi" w:cstheme="minorHAnsi"/>
          <w:sz w:val="24"/>
          <w:szCs w:val="24"/>
        </w:rPr>
      </w:pPr>
      <w:r w:rsidRPr="00D06568">
        <w:rPr>
          <w:rFonts w:asciiTheme="minorHAnsi" w:hAnsiTheme="minorHAnsi" w:cstheme="minorHAnsi"/>
          <w:sz w:val="24"/>
          <w:szCs w:val="24"/>
        </w:rPr>
        <w:t xml:space="preserve">Reach out to </w:t>
      </w:r>
      <w:proofErr w:type="spellStart"/>
      <w:r w:rsidRPr="00D06568">
        <w:rPr>
          <w:rFonts w:asciiTheme="minorHAnsi" w:hAnsiTheme="minorHAnsi" w:cstheme="minorHAnsi"/>
          <w:sz w:val="24"/>
          <w:szCs w:val="24"/>
        </w:rPr>
        <w:t>Fluxergy</w:t>
      </w:r>
      <w:proofErr w:type="spellEnd"/>
      <w:r w:rsidRPr="00D06568">
        <w:rPr>
          <w:rFonts w:asciiTheme="minorHAnsi" w:hAnsiTheme="minorHAnsi" w:cstheme="minorHAnsi"/>
          <w:sz w:val="24"/>
          <w:szCs w:val="24"/>
        </w:rPr>
        <w:t xml:space="preserve"> to book a meeting or receive performance data, recent abstracts at AAVLD, or collaborate on education/guidance to your state’s practitioners</w:t>
      </w:r>
    </w:p>
    <w:p w14:paraId="296B3D2A" w14:textId="77777777" w:rsidR="003C020F" w:rsidRPr="00D7637E" w:rsidRDefault="003C020F" w:rsidP="00EC6FC5">
      <w:pPr>
        <w:rPr>
          <w:rFonts w:asciiTheme="minorHAnsi" w:hAnsiTheme="minorHAnsi" w:cstheme="minorHAnsi"/>
          <w:b/>
          <w:bCs/>
          <w:sz w:val="24"/>
          <w:szCs w:val="24"/>
        </w:rPr>
      </w:pPr>
    </w:p>
    <w:p w14:paraId="6C0DAD71" w14:textId="1EF2B1DD" w:rsidR="00B960C3" w:rsidRPr="00D7637E" w:rsidRDefault="003C020F" w:rsidP="00EC6FC5">
      <w:pPr>
        <w:rPr>
          <w:rFonts w:asciiTheme="minorHAnsi" w:hAnsiTheme="minorHAnsi" w:cstheme="minorHAnsi"/>
        </w:rPr>
      </w:pPr>
      <w:r w:rsidRPr="00D7637E">
        <w:rPr>
          <w:rFonts w:asciiTheme="minorHAnsi" w:hAnsiTheme="minorHAnsi" w:cstheme="minorHAnsi"/>
          <w:b/>
          <w:bCs/>
          <w:sz w:val="24"/>
          <w:szCs w:val="24"/>
        </w:rPr>
        <w:t xml:space="preserve">High Health High Performance Resolution Background </w:t>
      </w:r>
      <w:r w:rsidR="00B960C3" w:rsidRPr="00D7637E">
        <w:rPr>
          <w:rFonts w:asciiTheme="minorHAnsi" w:hAnsiTheme="minorHAnsi" w:cstheme="minorHAnsi"/>
        </w:rPr>
        <w:t>by Katie Flynn</w:t>
      </w:r>
      <w:r w:rsidR="003A2674">
        <w:rPr>
          <w:rFonts w:asciiTheme="minorHAnsi" w:hAnsiTheme="minorHAnsi" w:cstheme="minorHAnsi"/>
        </w:rPr>
        <w:t xml:space="preserve">, </w:t>
      </w:r>
      <w:r w:rsidR="004A4591">
        <w:rPr>
          <w:rFonts w:asciiTheme="minorHAnsi" w:hAnsiTheme="minorHAnsi" w:cstheme="minorHAnsi"/>
        </w:rPr>
        <w:t>BVMS, MRCVS</w:t>
      </w:r>
      <w:r w:rsidR="003A2674">
        <w:rPr>
          <w:rFonts w:asciiTheme="minorHAnsi" w:hAnsiTheme="minorHAnsi" w:cstheme="minorHAnsi"/>
        </w:rPr>
        <w:t>, United States Equine Federation</w:t>
      </w:r>
    </w:p>
    <w:p w14:paraId="63E1BE4A" w14:textId="77777777" w:rsidR="00B960C3" w:rsidRPr="00D7637E" w:rsidRDefault="00B960C3" w:rsidP="00EC6FC5">
      <w:pPr>
        <w:rPr>
          <w:rFonts w:asciiTheme="minorHAnsi" w:hAnsiTheme="minorHAnsi" w:cstheme="minorHAnsi"/>
        </w:rPr>
      </w:pPr>
    </w:p>
    <w:p w14:paraId="25864A90" w14:textId="77777777" w:rsidR="00A361D5" w:rsidRPr="00D7637E" w:rsidRDefault="00A361D5" w:rsidP="00A361D5">
      <w:pPr>
        <w:spacing w:line="276" w:lineRule="auto"/>
        <w:rPr>
          <w:rFonts w:asciiTheme="minorHAnsi" w:eastAsia="Aptos" w:hAnsiTheme="minorHAnsi" w:cstheme="minorHAnsi"/>
          <w:kern w:val="2"/>
          <w:sz w:val="24"/>
          <w:szCs w:val="24"/>
          <w14:ligatures w14:val="standardContextual"/>
        </w:rPr>
      </w:pPr>
      <w:r w:rsidRPr="00D7637E">
        <w:rPr>
          <w:rFonts w:asciiTheme="minorHAnsi" w:eastAsia="Aptos" w:hAnsiTheme="minorHAnsi" w:cstheme="minorHAnsi"/>
          <w:kern w:val="2"/>
          <w:sz w:val="24"/>
          <w:szCs w:val="24"/>
          <w14:ligatures w14:val="standardContextual"/>
        </w:rPr>
        <w:t>Industry Seeking Support for Addressing Temporary International Movement of Equids</w:t>
      </w:r>
    </w:p>
    <w:p w14:paraId="1E4F3FF4" w14:textId="77777777" w:rsidR="00A361D5" w:rsidRPr="00D7637E" w:rsidRDefault="00A361D5" w:rsidP="00A361D5">
      <w:pPr>
        <w:rPr>
          <w:rFonts w:asciiTheme="minorHAnsi" w:hAnsiTheme="minorHAnsi" w:cstheme="minorHAnsi"/>
        </w:rPr>
      </w:pPr>
      <w:r w:rsidRPr="00D7637E">
        <w:rPr>
          <w:rFonts w:asciiTheme="minorHAnsi" w:hAnsiTheme="minorHAnsi" w:cstheme="minorHAnsi"/>
        </w:rPr>
        <w:t xml:space="preserve">Equine Athletes compete around the world representing their home countries at international equestrian events. The Federation Equestrian </w:t>
      </w:r>
      <w:proofErr w:type="spellStart"/>
      <w:r w:rsidRPr="00D7637E">
        <w:rPr>
          <w:rFonts w:asciiTheme="minorHAnsi" w:hAnsiTheme="minorHAnsi" w:cstheme="minorHAnsi"/>
        </w:rPr>
        <w:t>Internationale</w:t>
      </w:r>
      <w:proofErr w:type="spellEnd"/>
      <w:r w:rsidRPr="00D7637E">
        <w:rPr>
          <w:rFonts w:asciiTheme="minorHAnsi" w:hAnsiTheme="minorHAnsi" w:cstheme="minorHAnsi"/>
        </w:rPr>
        <w:t xml:space="preserve"> (FEI) is the international governing body for horse sports, recognized by the International Olympic Committee (IOC) and the International Paralympic Committee (IPC). The FEI sets the rules and regulations for Olympic equestrian sports namely show jumping, dressage, and </w:t>
      </w:r>
      <w:proofErr w:type="spellStart"/>
      <w:r w:rsidRPr="00D7637E">
        <w:rPr>
          <w:rFonts w:asciiTheme="minorHAnsi" w:hAnsiTheme="minorHAnsi" w:cstheme="minorHAnsi"/>
        </w:rPr>
        <w:t>eventing</w:t>
      </w:r>
      <w:proofErr w:type="spellEnd"/>
      <w:r w:rsidRPr="00D7637E">
        <w:rPr>
          <w:rFonts w:asciiTheme="minorHAnsi" w:hAnsiTheme="minorHAnsi" w:cstheme="minorHAnsi"/>
        </w:rPr>
        <w:t>, as well as non-Olympic disciplines such as endurance, driving, and vaulting. Its core mission is to develop and govern these sports globally, to ensure the health and welfare of horses, to promote integrity, and provide fair and equal opportunities for athletes worldwide. </w:t>
      </w:r>
    </w:p>
    <w:p w14:paraId="3C0888AA" w14:textId="77777777" w:rsidR="00A361D5" w:rsidRPr="00D7637E" w:rsidRDefault="00A361D5" w:rsidP="00A361D5">
      <w:pPr>
        <w:rPr>
          <w:rFonts w:asciiTheme="minorHAnsi" w:hAnsiTheme="minorHAnsi" w:cstheme="minorHAnsi"/>
        </w:rPr>
      </w:pPr>
    </w:p>
    <w:p w14:paraId="6155331A" w14:textId="77777777" w:rsidR="00A361D5" w:rsidRPr="00D7637E" w:rsidRDefault="00A361D5" w:rsidP="00A361D5">
      <w:pPr>
        <w:rPr>
          <w:rFonts w:asciiTheme="minorHAnsi" w:hAnsiTheme="minorHAnsi" w:cstheme="minorHAnsi"/>
        </w:rPr>
      </w:pPr>
      <w:r w:rsidRPr="00D7637E">
        <w:rPr>
          <w:rFonts w:asciiTheme="minorHAnsi" w:hAnsiTheme="minorHAnsi" w:cstheme="minorHAnsi"/>
        </w:rPr>
        <w:t xml:space="preserve">The United States Equestrian Federation (USEF) is the national governing body for horse sports in the United States. Under the Ted Steven’s Act, USEF is responsible for developing and selecting equestrian athletes for national teams for international competitions.  As such, the USEF promotes fair and safe competition, sets rules for sports and licenses competitions and officials. </w:t>
      </w:r>
    </w:p>
    <w:p w14:paraId="0C8E7003" w14:textId="77777777" w:rsidR="00A361D5" w:rsidRPr="00D7637E" w:rsidRDefault="00A361D5" w:rsidP="00A361D5">
      <w:pPr>
        <w:rPr>
          <w:rFonts w:asciiTheme="minorHAnsi" w:hAnsiTheme="minorHAnsi" w:cstheme="minorHAnsi"/>
        </w:rPr>
      </w:pPr>
    </w:p>
    <w:p w14:paraId="1C9666E1" w14:textId="77777777" w:rsidR="00A361D5" w:rsidRPr="00D7637E" w:rsidRDefault="00A361D5" w:rsidP="00A361D5">
      <w:pPr>
        <w:rPr>
          <w:rFonts w:asciiTheme="minorHAnsi" w:hAnsiTheme="minorHAnsi" w:cstheme="minorHAnsi"/>
        </w:rPr>
      </w:pPr>
      <w:r w:rsidRPr="00D7637E">
        <w:rPr>
          <w:rFonts w:asciiTheme="minorHAnsi" w:hAnsiTheme="minorHAnsi" w:cstheme="minorHAnsi"/>
        </w:rPr>
        <w:t xml:space="preserve">In 2024, the United States hosted 501 of the over 4,500 international events sanctioned by FEI. The top five states for hosting upper-level international FEI events are Florida, California, North Carolina, Michigan, and New York. Over the next three years, in preparation for the 2028 Olympic and Paralympic Games to be held in Los Angeles, California, there will be an increase in the number of upper-level FEI events in the United States. In April 2026, the United States will host the FEI World Cup Equestrian Event in Dallas, Texas. </w:t>
      </w:r>
    </w:p>
    <w:p w14:paraId="7738A8AA" w14:textId="77777777" w:rsidR="00A361D5" w:rsidRPr="00D7637E" w:rsidRDefault="00A361D5" w:rsidP="00A361D5">
      <w:pPr>
        <w:rPr>
          <w:rFonts w:asciiTheme="minorHAnsi" w:hAnsiTheme="minorHAnsi" w:cstheme="minorHAnsi"/>
        </w:rPr>
      </w:pPr>
    </w:p>
    <w:p w14:paraId="50F597EF" w14:textId="77777777" w:rsidR="00A361D5" w:rsidRPr="00D7637E" w:rsidRDefault="00A361D5" w:rsidP="00A361D5">
      <w:pPr>
        <w:rPr>
          <w:rFonts w:asciiTheme="minorHAnsi" w:hAnsiTheme="minorHAnsi" w:cstheme="minorHAnsi"/>
        </w:rPr>
      </w:pPr>
      <w:r w:rsidRPr="00D7637E">
        <w:rPr>
          <w:rFonts w:asciiTheme="minorHAnsi" w:hAnsiTheme="minorHAnsi" w:cstheme="minorHAnsi"/>
        </w:rPr>
        <w:t xml:space="preserve">Equine and human athletes representing the United States travel the world to compete at FEI sanctioned events. In 2024, a total of 424 human athletes and 1,001 equine athletes represented the United States at international competitions in 28 countries with one rider who competed in 10 countries with 9 horses. Many of the US equine athletes are stabled in the United States, but some US riders have a subset of horses stabled overseas due to the barriers posed by USDA’s international movement rules and regulations. </w:t>
      </w:r>
    </w:p>
    <w:p w14:paraId="734CC737" w14:textId="77777777" w:rsidR="00A361D5" w:rsidRPr="00D7637E" w:rsidRDefault="00A361D5" w:rsidP="00A361D5">
      <w:pPr>
        <w:rPr>
          <w:rFonts w:asciiTheme="minorHAnsi" w:hAnsiTheme="minorHAnsi" w:cstheme="minorHAnsi"/>
        </w:rPr>
      </w:pPr>
    </w:p>
    <w:p w14:paraId="78D28FA0" w14:textId="77777777" w:rsidR="00A361D5" w:rsidRPr="00D7637E" w:rsidRDefault="00A361D5" w:rsidP="00A361D5">
      <w:pPr>
        <w:rPr>
          <w:rFonts w:asciiTheme="minorHAnsi" w:hAnsiTheme="minorHAnsi" w:cstheme="minorHAnsi"/>
        </w:rPr>
      </w:pPr>
      <w:r w:rsidRPr="00D7637E">
        <w:rPr>
          <w:rFonts w:asciiTheme="minorHAnsi" w:hAnsiTheme="minorHAnsi" w:cstheme="minorHAnsi"/>
        </w:rPr>
        <w:t xml:space="preserve">The health and well-being of our international equine athletes are protected by the robust science-based FEI veterinary rules. These FEI rules encompass the critical components of the World Organization of Animal Health’s requirements for the recognized subpopulation of High Health Performance Horses (HHP).  Specifically, horses participating in FEI competitions must meet the requirements for </w:t>
      </w:r>
      <w:r w:rsidRPr="00D7637E">
        <w:rPr>
          <w:rFonts w:asciiTheme="minorHAnsi" w:hAnsiTheme="minorHAnsi" w:cstheme="minorHAnsi"/>
        </w:rPr>
        <w:lastRenderedPageBreak/>
        <w:t xml:space="preserve">identification, traceability, and biosecurity before, during and post competition.  Furthermore, the FEI rules and protocols recognize the importance of health monitoring and routine veterinary care for ensuring the high health status of the elite equine athlete at home and abroad. </w:t>
      </w:r>
    </w:p>
    <w:p w14:paraId="47104EF5" w14:textId="77777777" w:rsidR="00A361D5" w:rsidRPr="00D7637E" w:rsidRDefault="00A361D5" w:rsidP="00A361D5">
      <w:pPr>
        <w:rPr>
          <w:rFonts w:asciiTheme="minorHAnsi" w:hAnsiTheme="minorHAnsi" w:cstheme="minorHAnsi"/>
        </w:rPr>
      </w:pPr>
    </w:p>
    <w:p w14:paraId="40DCEB3B" w14:textId="77777777" w:rsidR="00A361D5" w:rsidRPr="00D7637E" w:rsidRDefault="00A361D5" w:rsidP="00A361D5">
      <w:pPr>
        <w:rPr>
          <w:rFonts w:asciiTheme="minorHAnsi" w:hAnsiTheme="minorHAnsi" w:cstheme="minorHAnsi"/>
        </w:rPr>
      </w:pPr>
      <w:r w:rsidRPr="00D7637E">
        <w:rPr>
          <w:rFonts w:asciiTheme="minorHAnsi" w:hAnsiTheme="minorHAnsi" w:cstheme="minorHAnsi"/>
        </w:rPr>
        <w:t>Although FEI events can be held in conjunction with a US National Competition sanctioned by a national governing body (namely USEF in the United States), the FEI mandates complete separation of National Horses from those competing in the FEI event. Complete separation includes designated restricted access to dedicated FEI stabling and FEI exercise and competition areas.  The FEI stabling is a secure compound which restricts access to credentialed individuals and recognized qualified high health status FEI equids. All human and equine entry and exit are logged as the stabling is monitored by security and licensed officials 24/7.</w:t>
      </w:r>
    </w:p>
    <w:p w14:paraId="6019D0D2" w14:textId="77777777" w:rsidR="00A361D5" w:rsidRPr="00D7637E" w:rsidRDefault="00A361D5" w:rsidP="00A361D5">
      <w:pPr>
        <w:rPr>
          <w:rFonts w:asciiTheme="minorHAnsi" w:hAnsiTheme="minorHAnsi" w:cstheme="minorHAnsi"/>
        </w:rPr>
      </w:pPr>
    </w:p>
    <w:p w14:paraId="763904E1" w14:textId="77777777" w:rsidR="00A361D5" w:rsidRPr="00D7637E" w:rsidRDefault="00A361D5" w:rsidP="00A361D5">
      <w:pPr>
        <w:rPr>
          <w:rFonts w:asciiTheme="minorHAnsi" w:hAnsiTheme="minorHAnsi" w:cstheme="minorHAnsi"/>
        </w:rPr>
      </w:pPr>
      <w:r w:rsidRPr="00D7637E">
        <w:rPr>
          <w:rFonts w:asciiTheme="minorHAnsi" w:hAnsiTheme="minorHAnsi" w:cstheme="minorHAnsi"/>
        </w:rPr>
        <w:t xml:space="preserve">Horses competing in FEI events must meet strict entry requirements prior to entering stabling area. At the time of arrival and offloading, the FEI official reviews the FEI passport and scans the equid’s microchip to verify horse’s identity. Meanwhile, the examining veterinarian reviews the electronic horse records contained within the electronic FEI Horse App to ensure the horse’s vaccinations are current and to ensure the temperatures logged for the three prior days are below 101.5°F.  Once the passport and FEI Horse App are verified and validated, the horse’s temperature is taken. Afebrile horses are allowed entry to the stables and are provided with a back number and/or bridle tag number which are required for use while on the grounds.  Febrile horses and their cohorts on the trailer will be sent to isolation and if the horse is afebrile on subsequent readings, the horses will be released to the FEI stabling.  Horses remaining febrile will be refused entry to the event. </w:t>
      </w:r>
    </w:p>
    <w:p w14:paraId="40BBC2B4" w14:textId="77777777" w:rsidR="00A361D5" w:rsidRPr="00D7637E" w:rsidRDefault="00A361D5" w:rsidP="00A361D5">
      <w:pPr>
        <w:rPr>
          <w:rFonts w:asciiTheme="minorHAnsi" w:hAnsiTheme="minorHAnsi" w:cstheme="minorHAnsi"/>
        </w:rPr>
      </w:pPr>
    </w:p>
    <w:p w14:paraId="047D32C3" w14:textId="77777777" w:rsidR="00A361D5" w:rsidRPr="00D7637E" w:rsidRDefault="00A361D5" w:rsidP="00A361D5">
      <w:pPr>
        <w:rPr>
          <w:rFonts w:asciiTheme="minorHAnsi" w:hAnsiTheme="minorHAnsi" w:cstheme="minorHAnsi"/>
        </w:rPr>
      </w:pPr>
      <w:r w:rsidRPr="00D7637E">
        <w:rPr>
          <w:rFonts w:asciiTheme="minorHAnsi" w:hAnsiTheme="minorHAnsi" w:cstheme="minorHAnsi"/>
        </w:rPr>
        <w:t>Horses are stabled by country and by region. Biosecurity rules prohibit breeding of horses as well as sharing equipment which further enhances disease mitigation efforts. As part of the required biosecurity plan for FEI sanctioned events, venues must implement fly and rodent control measures as well as stabling and premises cleaning and disinfection protocols, all of which must be verified by FEI officials onsite during the event. Licensed officials continually walk through the stabling area to observe horse health and management practices to ensure compliance with all biosecurity rules.</w:t>
      </w:r>
    </w:p>
    <w:p w14:paraId="128A3657" w14:textId="77777777" w:rsidR="00A361D5" w:rsidRPr="00D7637E" w:rsidRDefault="00A361D5" w:rsidP="00A361D5">
      <w:pPr>
        <w:rPr>
          <w:rFonts w:asciiTheme="minorHAnsi" w:hAnsiTheme="minorHAnsi" w:cstheme="minorHAnsi"/>
        </w:rPr>
      </w:pPr>
    </w:p>
    <w:p w14:paraId="5211229A" w14:textId="77777777" w:rsidR="00A361D5" w:rsidRPr="00D7637E" w:rsidRDefault="00A361D5" w:rsidP="00A361D5">
      <w:pPr>
        <w:rPr>
          <w:rFonts w:asciiTheme="minorHAnsi" w:hAnsiTheme="minorHAnsi" w:cstheme="minorHAnsi"/>
        </w:rPr>
      </w:pPr>
      <w:r w:rsidRPr="00D7637E">
        <w:rPr>
          <w:rFonts w:asciiTheme="minorHAnsi" w:hAnsiTheme="minorHAnsi" w:cstheme="minorHAnsi"/>
        </w:rPr>
        <w:t xml:space="preserve">Horse health is continually monitored at an FEI competition to ensure only healthy horses compete and return to their home premises. FEI official veterinarians perform a second microchip verification and horse inspection with required jog to determine fitness to compete prior to any horse competing. At some events more than one horse fitness to compete inspection may occur. Additional inspections conducted by FEI licensed officials include bit checks, boot checks and equipment checks to ensure all pieces of equipment are in compliance with horse health and welfare rules. </w:t>
      </w:r>
    </w:p>
    <w:p w14:paraId="29163814" w14:textId="77777777" w:rsidR="00A361D5" w:rsidRPr="00D7637E" w:rsidRDefault="00A361D5" w:rsidP="00A361D5">
      <w:pPr>
        <w:rPr>
          <w:rFonts w:asciiTheme="minorHAnsi" w:hAnsiTheme="minorHAnsi" w:cstheme="minorHAnsi"/>
        </w:rPr>
      </w:pPr>
    </w:p>
    <w:p w14:paraId="76695DE3" w14:textId="77777777" w:rsidR="00A361D5" w:rsidRPr="00D7637E" w:rsidRDefault="00A361D5" w:rsidP="00A361D5">
      <w:pPr>
        <w:rPr>
          <w:rFonts w:asciiTheme="minorHAnsi" w:hAnsiTheme="minorHAnsi" w:cstheme="minorHAnsi"/>
        </w:rPr>
      </w:pPr>
      <w:r w:rsidRPr="00D7637E">
        <w:rPr>
          <w:rFonts w:asciiTheme="minorHAnsi" w:hAnsiTheme="minorHAnsi" w:cstheme="minorHAnsi"/>
        </w:rPr>
        <w:t xml:space="preserve">In the event a horse becomes febrile or displays clinical signs of illness, the horse is required to be moved immediately to isolation. A febrile horse is further required to be tested for Equine Herpesvirus-1 at an FEI approved laboratory. Additional testing may be mandated by an FEI official veterinarian.  </w:t>
      </w:r>
    </w:p>
    <w:p w14:paraId="370FE151" w14:textId="77777777" w:rsidR="00A361D5" w:rsidRPr="00D7637E" w:rsidRDefault="00A361D5" w:rsidP="00A361D5">
      <w:pPr>
        <w:rPr>
          <w:rFonts w:asciiTheme="minorHAnsi" w:hAnsiTheme="minorHAnsi" w:cstheme="minorHAnsi"/>
        </w:rPr>
      </w:pPr>
    </w:p>
    <w:p w14:paraId="4343B58A" w14:textId="77777777" w:rsidR="00A361D5" w:rsidRPr="00D7637E" w:rsidRDefault="00A361D5" w:rsidP="00A361D5">
      <w:pPr>
        <w:rPr>
          <w:rFonts w:asciiTheme="minorHAnsi" w:hAnsiTheme="minorHAnsi" w:cstheme="minorHAnsi"/>
        </w:rPr>
      </w:pPr>
      <w:r w:rsidRPr="00D7637E">
        <w:rPr>
          <w:rFonts w:asciiTheme="minorHAnsi" w:hAnsiTheme="minorHAnsi" w:cstheme="minorHAnsi"/>
        </w:rPr>
        <w:t xml:space="preserve">Depending on the number of horses and the level of competition, there may be many FEI credentialed veterinarians on the event grounds. Any veterinarian wishing access to the FEI enclosures or access to an FEI horse for treatment must be credentialled by FEI.  To become an FEI Official Veterinarian, the individual must have at least 3 years of equine veterinary experience and pass an online Official Veterinarian Course with examination. Upper-level FEI Official Veterinarian credentials require in person training and assessment. Continued online training and assessment are required to maintain FEI </w:t>
      </w:r>
      <w:r w:rsidRPr="00D7637E">
        <w:rPr>
          <w:rFonts w:asciiTheme="minorHAnsi" w:hAnsiTheme="minorHAnsi" w:cstheme="minorHAnsi"/>
        </w:rPr>
        <w:lastRenderedPageBreak/>
        <w:t xml:space="preserve">veterinarian credentials. Failure to follow any FEI veterinary rules may result in the removal of FEI credentials. </w:t>
      </w:r>
    </w:p>
    <w:p w14:paraId="79A17327" w14:textId="77777777" w:rsidR="00A361D5" w:rsidRPr="00D7637E" w:rsidRDefault="00A361D5" w:rsidP="00A361D5">
      <w:pPr>
        <w:rPr>
          <w:rFonts w:asciiTheme="minorHAnsi" w:hAnsiTheme="minorHAnsi" w:cstheme="minorHAnsi"/>
        </w:rPr>
      </w:pPr>
    </w:p>
    <w:p w14:paraId="17985483" w14:textId="1AD1EDE7" w:rsidR="00A361D5" w:rsidRPr="00D7637E" w:rsidRDefault="00A361D5" w:rsidP="00A361D5">
      <w:pPr>
        <w:rPr>
          <w:rFonts w:asciiTheme="minorHAnsi" w:hAnsiTheme="minorHAnsi" w:cstheme="minorHAnsi"/>
        </w:rPr>
      </w:pPr>
      <w:r w:rsidRPr="00D7637E">
        <w:rPr>
          <w:rFonts w:asciiTheme="minorHAnsi" w:hAnsiTheme="minorHAnsi" w:cstheme="minorHAnsi"/>
        </w:rPr>
        <w:t xml:space="preserve">With all the above-mentioned biosecurity measures taken, what risk does this subpopulation of horses entering the United States pose to the US equid herd?  Do the risks warrant the current burdensome non-science-based import USDA regulations? Current outdated USDA regulations fail to adequately address the negligible risk associated with the current management practices and the temporary movement patterns of these high health high performance equine athletes. To examples of barriers preventing the upper-level international equine athletes from entering the United States are the </w:t>
      </w:r>
      <w:r w:rsidR="007D6B2B" w:rsidRPr="00D7637E">
        <w:rPr>
          <w:rFonts w:asciiTheme="minorHAnsi" w:hAnsiTheme="minorHAnsi" w:cstheme="minorHAnsi"/>
        </w:rPr>
        <w:t>7-day</w:t>
      </w:r>
      <w:r w:rsidRPr="00D7637E">
        <w:rPr>
          <w:rFonts w:asciiTheme="minorHAnsi" w:hAnsiTheme="minorHAnsi" w:cstheme="minorHAnsi"/>
        </w:rPr>
        <w:t xml:space="preserve"> quarantine which restricts exercise to hand walking only and the burdensome costly restriction placed on temporary Contagious Equine Metritis (CEM) waiver horses. A fit competition horse only hand walking in a 7-day quarantine, loses fitness and is unable to compete to its fullest potential. Furthermore, the requirement that an individual must accompany each individual CEM waiver horse outside the stabling area to an exercise or competition arena is labor intensive and costly for the negligible risk of disease spread by the extremely unlikely event of a horse breeding under saddle while on the competition grounds.  </w:t>
      </w:r>
    </w:p>
    <w:p w14:paraId="5BD717E8" w14:textId="77777777" w:rsidR="00D7637E" w:rsidRDefault="00D7637E" w:rsidP="00A361D5">
      <w:pPr>
        <w:rPr>
          <w:rFonts w:asciiTheme="minorHAnsi" w:hAnsiTheme="minorHAnsi" w:cstheme="minorHAnsi"/>
        </w:rPr>
      </w:pPr>
    </w:p>
    <w:p w14:paraId="49EEF636" w14:textId="5E50C65F" w:rsidR="00A361D5" w:rsidRPr="00D7637E" w:rsidRDefault="00A361D5" w:rsidP="00A361D5">
      <w:pPr>
        <w:rPr>
          <w:rFonts w:asciiTheme="minorHAnsi" w:hAnsiTheme="minorHAnsi" w:cstheme="minorHAnsi"/>
        </w:rPr>
      </w:pPr>
      <w:r w:rsidRPr="00D7637E">
        <w:rPr>
          <w:rFonts w:asciiTheme="minorHAnsi" w:hAnsiTheme="minorHAnsi" w:cstheme="minorHAnsi"/>
        </w:rPr>
        <w:t xml:space="preserve">Based on the above mentioned challenges and recognized biosecurity measures and practices implemented for the subpopulation of high health high performance horses competing at FEI competitions, the US equine industry is seeking support for the USDA recognition of high health subpopulation of horses as outlined in the </w:t>
      </w:r>
      <w:hyperlink r:id="rId8" w:history="1">
        <w:r w:rsidRPr="00D7637E">
          <w:rPr>
            <w:rStyle w:val="Hyperlink"/>
            <w:rFonts w:asciiTheme="minorHAnsi" w:hAnsiTheme="minorHAnsi" w:cstheme="minorHAnsi"/>
          </w:rPr>
          <w:t>WOAH Terrestrial Animal Health Code Chapter 4.17</w:t>
        </w:r>
      </w:hyperlink>
      <w:r w:rsidRPr="00D7637E">
        <w:rPr>
          <w:rFonts w:asciiTheme="minorHAnsi" w:hAnsiTheme="minorHAnsi" w:cstheme="minorHAnsi"/>
        </w:rPr>
        <w:t xml:space="preserve">. A subpopulation recognized by many other countries around the world specifically for FEI competition horses. A subpopulation that science shows is a low risk for disease introduction and spread when the principles of the WOAH Framework for High Health High Performance Horse are implemented. </w:t>
      </w:r>
      <w:r w:rsidRPr="00D7637E">
        <w:rPr>
          <w:rFonts w:asciiTheme="minorHAnsi" w:hAnsiTheme="minorHAnsi" w:cstheme="minorHAnsi"/>
          <w:lang w:val="pt-BR"/>
        </w:rPr>
        <w:t xml:space="preserve">(See: Dominguez M, Münstermann S, de Guindos I, Timoney P. </w:t>
      </w:r>
      <w:hyperlink r:id="rId9" w:history="1">
        <w:r w:rsidRPr="00D7637E">
          <w:rPr>
            <w:rStyle w:val="Hyperlink"/>
            <w:rFonts w:asciiTheme="minorHAnsi" w:hAnsiTheme="minorHAnsi" w:cstheme="minorHAnsi"/>
          </w:rPr>
          <w:t>Equine disease events resulting from international horse movements: Systematic review and lessons learned.</w:t>
        </w:r>
      </w:hyperlink>
      <w:r w:rsidRPr="00D7637E">
        <w:rPr>
          <w:rFonts w:asciiTheme="minorHAnsi" w:hAnsiTheme="minorHAnsi" w:cstheme="minorHAnsi"/>
        </w:rPr>
        <w:t xml:space="preserve"> Equine Vet J. 2016 Sep;48(5):641-53.) </w:t>
      </w:r>
    </w:p>
    <w:p w14:paraId="391E6EBF" w14:textId="77777777" w:rsidR="00A361D5" w:rsidRPr="00D7637E" w:rsidRDefault="00A361D5" w:rsidP="00A361D5">
      <w:pPr>
        <w:rPr>
          <w:rFonts w:asciiTheme="minorHAnsi" w:hAnsiTheme="minorHAnsi" w:cstheme="minorHAnsi"/>
        </w:rPr>
      </w:pPr>
    </w:p>
    <w:p w14:paraId="6F68608A" w14:textId="77777777" w:rsidR="00A361D5" w:rsidRPr="00D7637E" w:rsidRDefault="00A361D5" w:rsidP="00A361D5">
      <w:pPr>
        <w:rPr>
          <w:rFonts w:asciiTheme="minorHAnsi" w:hAnsiTheme="minorHAnsi" w:cstheme="minorHAnsi"/>
        </w:rPr>
      </w:pPr>
      <w:r w:rsidRPr="00D7637E">
        <w:rPr>
          <w:rFonts w:asciiTheme="minorHAnsi" w:hAnsiTheme="minorHAnsi" w:cstheme="minorHAnsi"/>
        </w:rPr>
        <w:t>In summary, the equine industry seeks support for the implementation of these WOAH principles through the revision of USDA rules and policies.  Specifically, urging the USDA to take the first step, which is to recognize the subpopulation of high health performance horses and the WOAH standards for such a population. This industry is initiative supported by the American Horse Council, the American Association of Equine Practitioners, the Jockey Club, the American Quarter Horse Association and the United States Equestrian Federation as well as many other equine and livestock entities.</w:t>
      </w:r>
    </w:p>
    <w:p w14:paraId="01458C1F" w14:textId="77777777" w:rsidR="00A361D5" w:rsidRPr="00D7637E" w:rsidRDefault="00A361D5" w:rsidP="00A361D5">
      <w:pPr>
        <w:rPr>
          <w:rFonts w:asciiTheme="minorHAnsi" w:hAnsiTheme="minorHAnsi" w:cstheme="minorHAnsi"/>
        </w:rPr>
      </w:pPr>
    </w:p>
    <w:p w14:paraId="124C6FB1" w14:textId="77777777" w:rsidR="00A361D5" w:rsidRPr="00D7637E" w:rsidRDefault="00A361D5" w:rsidP="00A361D5">
      <w:pPr>
        <w:rPr>
          <w:rFonts w:asciiTheme="minorHAnsi" w:hAnsiTheme="minorHAnsi" w:cstheme="minorHAnsi"/>
        </w:rPr>
      </w:pPr>
      <w:r w:rsidRPr="00D7637E">
        <w:rPr>
          <w:rFonts w:asciiTheme="minorHAnsi" w:hAnsiTheme="minorHAnsi" w:cstheme="minorHAnsi"/>
        </w:rPr>
        <w:t xml:space="preserve">For more information regarding the international movement of the subpopulation of competition horses, email Dr. Katie Flynn at </w:t>
      </w:r>
      <w:hyperlink r:id="rId10" w:history="1">
        <w:r w:rsidRPr="00D7637E">
          <w:rPr>
            <w:rStyle w:val="Hyperlink"/>
            <w:rFonts w:asciiTheme="minorHAnsi" w:hAnsiTheme="minorHAnsi" w:cstheme="minorHAnsi"/>
          </w:rPr>
          <w:t>kflynn@usef.org</w:t>
        </w:r>
      </w:hyperlink>
      <w:r w:rsidRPr="00D7637E">
        <w:rPr>
          <w:rFonts w:asciiTheme="minorHAnsi" w:hAnsiTheme="minorHAnsi" w:cstheme="minorHAnsi"/>
        </w:rPr>
        <w:t xml:space="preserve"> </w:t>
      </w:r>
    </w:p>
    <w:p w14:paraId="4D0784A8" w14:textId="77777777" w:rsidR="00A361D5" w:rsidRPr="00D7637E" w:rsidRDefault="00A361D5" w:rsidP="00A361D5">
      <w:pPr>
        <w:rPr>
          <w:rFonts w:asciiTheme="minorHAnsi" w:hAnsiTheme="minorHAnsi" w:cstheme="minorHAnsi"/>
        </w:rPr>
      </w:pPr>
    </w:p>
    <w:p w14:paraId="19659FF6" w14:textId="641D2454" w:rsidR="00A361D5" w:rsidRPr="00D7637E" w:rsidRDefault="00A361D5" w:rsidP="00A361D5">
      <w:pPr>
        <w:rPr>
          <w:rFonts w:asciiTheme="minorHAnsi" w:hAnsiTheme="minorHAnsi" w:cstheme="minorHAnsi"/>
        </w:rPr>
      </w:pPr>
      <w:r w:rsidRPr="00D7637E">
        <w:rPr>
          <w:rFonts w:asciiTheme="minorHAnsi" w:hAnsiTheme="minorHAnsi" w:cstheme="minorHAnsi"/>
        </w:rPr>
        <w:t xml:space="preserve">Supplemental References: </w:t>
      </w:r>
    </w:p>
    <w:p w14:paraId="6AB65EDB" w14:textId="77777777" w:rsidR="00A361D5" w:rsidRPr="00D7637E" w:rsidRDefault="00A361D5" w:rsidP="00A361D5">
      <w:pPr>
        <w:numPr>
          <w:ilvl w:val="0"/>
          <w:numId w:val="14"/>
        </w:numPr>
        <w:rPr>
          <w:rFonts w:asciiTheme="minorHAnsi" w:hAnsiTheme="minorHAnsi" w:cstheme="minorHAnsi"/>
        </w:rPr>
      </w:pPr>
      <w:r w:rsidRPr="00D7637E">
        <w:rPr>
          <w:rFonts w:asciiTheme="minorHAnsi" w:hAnsiTheme="minorHAnsi" w:cstheme="minorHAnsi"/>
        </w:rPr>
        <w:t xml:space="preserve">WOAH High Health Performance Horse Framework: </w:t>
      </w:r>
      <w:hyperlink r:id="rId11" w:history="1">
        <w:r w:rsidRPr="00D7637E">
          <w:rPr>
            <w:rStyle w:val="Hyperlink"/>
            <w:rFonts w:asciiTheme="minorHAnsi" w:hAnsiTheme="minorHAnsi" w:cstheme="minorHAnsi"/>
          </w:rPr>
          <w:t>https://bulletin.woah.org/?panorama=03-1-hhp-en</w:t>
        </w:r>
      </w:hyperlink>
    </w:p>
    <w:p w14:paraId="7161E421" w14:textId="77777777" w:rsidR="00A361D5" w:rsidRPr="00D7637E" w:rsidRDefault="00A361D5" w:rsidP="00A361D5">
      <w:pPr>
        <w:numPr>
          <w:ilvl w:val="0"/>
          <w:numId w:val="14"/>
        </w:numPr>
        <w:rPr>
          <w:rFonts w:asciiTheme="minorHAnsi" w:hAnsiTheme="minorHAnsi" w:cstheme="minorHAnsi"/>
        </w:rPr>
      </w:pPr>
      <w:r w:rsidRPr="00D7637E">
        <w:rPr>
          <w:rFonts w:asciiTheme="minorHAnsi" w:hAnsiTheme="minorHAnsi" w:cstheme="minorHAnsi"/>
        </w:rPr>
        <w:t xml:space="preserve">WOAH Handbook for the management of High Health High Performance Horses </w:t>
      </w:r>
      <w:hyperlink r:id="rId12" w:history="1">
        <w:r w:rsidRPr="00D7637E">
          <w:rPr>
            <w:rStyle w:val="Hyperlink"/>
            <w:rFonts w:asciiTheme="minorHAnsi" w:hAnsiTheme="minorHAnsi" w:cstheme="minorHAnsi"/>
          </w:rPr>
          <w:t>https://www.woah.org/fileadmin/Home/eng/Our_scientific_expertise/docs/pdf/Chevaux/A_HHP_Handbook_Oct_2018.pdf</w:t>
        </w:r>
      </w:hyperlink>
    </w:p>
    <w:p w14:paraId="2164C14E" w14:textId="77777777" w:rsidR="00B960C3" w:rsidRPr="00D7637E" w:rsidRDefault="00B960C3" w:rsidP="00EC6FC5">
      <w:pPr>
        <w:rPr>
          <w:rFonts w:asciiTheme="minorHAnsi" w:hAnsiTheme="minorHAnsi" w:cstheme="minorHAnsi"/>
        </w:rPr>
      </w:pPr>
    </w:p>
    <w:p w14:paraId="2F51CF32" w14:textId="237335AA" w:rsidR="00B960C3" w:rsidRPr="00D7637E" w:rsidRDefault="00B960C3" w:rsidP="00EC6FC5">
      <w:pPr>
        <w:rPr>
          <w:rFonts w:asciiTheme="minorHAnsi" w:hAnsiTheme="minorHAnsi" w:cstheme="minorHAnsi"/>
        </w:rPr>
      </w:pPr>
      <w:r w:rsidRPr="00D7637E">
        <w:rPr>
          <w:rFonts w:asciiTheme="minorHAnsi" w:hAnsiTheme="minorHAnsi" w:cstheme="minorHAnsi"/>
          <w:b/>
          <w:bCs/>
          <w:sz w:val="24"/>
          <w:szCs w:val="24"/>
        </w:rPr>
        <w:t>Business Session- Resolutions Review</w:t>
      </w:r>
      <w:r w:rsidR="003C020F" w:rsidRPr="00D7637E">
        <w:rPr>
          <w:rFonts w:asciiTheme="minorHAnsi" w:hAnsiTheme="minorHAnsi" w:cstheme="minorHAnsi"/>
          <w:b/>
          <w:bCs/>
          <w:sz w:val="24"/>
          <w:szCs w:val="24"/>
        </w:rPr>
        <w:t xml:space="preserve">, SAHO </w:t>
      </w:r>
      <w:r w:rsidR="00DC45CD" w:rsidRPr="00D7637E">
        <w:rPr>
          <w:rFonts w:asciiTheme="minorHAnsi" w:hAnsiTheme="minorHAnsi" w:cstheme="minorHAnsi"/>
          <w:b/>
          <w:bCs/>
          <w:sz w:val="24"/>
          <w:szCs w:val="24"/>
        </w:rPr>
        <w:t xml:space="preserve">EHM </w:t>
      </w:r>
      <w:r w:rsidR="003C020F" w:rsidRPr="00D7637E">
        <w:rPr>
          <w:rFonts w:asciiTheme="minorHAnsi" w:hAnsiTheme="minorHAnsi" w:cstheme="minorHAnsi"/>
          <w:b/>
          <w:bCs/>
          <w:sz w:val="24"/>
          <w:szCs w:val="24"/>
        </w:rPr>
        <w:t>Incident Response Guidance Document for</w:t>
      </w:r>
      <w:r w:rsidR="00DC45CD" w:rsidRPr="00D7637E">
        <w:rPr>
          <w:rFonts w:asciiTheme="minorHAnsi" w:hAnsiTheme="minorHAnsi" w:cstheme="minorHAnsi"/>
          <w:b/>
          <w:bCs/>
          <w:sz w:val="24"/>
          <w:szCs w:val="24"/>
        </w:rPr>
        <w:t xml:space="preserve"> </w:t>
      </w:r>
      <w:r w:rsidR="003C020F" w:rsidRPr="00D7637E">
        <w:rPr>
          <w:rFonts w:asciiTheme="minorHAnsi" w:hAnsiTheme="minorHAnsi" w:cstheme="minorHAnsi"/>
          <w:b/>
          <w:bCs/>
          <w:sz w:val="24"/>
          <w:szCs w:val="24"/>
        </w:rPr>
        <w:t>SAHOs</w:t>
      </w:r>
      <w:r w:rsidRPr="00D7637E">
        <w:rPr>
          <w:rFonts w:asciiTheme="minorHAnsi" w:hAnsiTheme="minorHAnsi" w:cstheme="minorHAnsi"/>
          <w:b/>
          <w:bCs/>
          <w:sz w:val="24"/>
          <w:szCs w:val="24"/>
        </w:rPr>
        <w:t xml:space="preserve"> and Charter</w:t>
      </w:r>
      <w:r w:rsidRPr="00D7637E">
        <w:rPr>
          <w:rFonts w:asciiTheme="minorHAnsi" w:hAnsiTheme="minorHAnsi" w:cstheme="minorHAnsi"/>
        </w:rPr>
        <w:t xml:space="preserve"> with </w:t>
      </w:r>
      <w:r w:rsidR="003A2674">
        <w:rPr>
          <w:rFonts w:asciiTheme="minorHAnsi" w:hAnsiTheme="minorHAnsi" w:cstheme="minorHAnsi"/>
        </w:rPr>
        <w:t>Joe</w:t>
      </w:r>
      <w:r w:rsidRPr="00D7637E">
        <w:rPr>
          <w:rFonts w:asciiTheme="minorHAnsi" w:hAnsiTheme="minorHAnsi" w:cstheme="minorHAnsi"/>
        </w:rPr>
        <w:t xml:space="preserve"> Fisch</w:t>
      </w:r>
      <w:r w:rsidR="003A2674">
        <w:rPr>
          <w:rFonts w:asciiTheme="minorHAnsi" w:hAnsiTheme="minorHAnsi" w:cstheme="minorHAnsi"/>
        </w:rPr>
        <w:t>, DVM</w:t>
      </w:r>
      <w:r w:rsidRPr="00D7637E">
        <w:rPr>
          <w:rFonts w:asciiTheme="minorHAnsi" w:hAnsiTheme="minorHAnsi" w:cstheme="minorHAnsi"/>
        </w:rPr>
        <w:t xml:space="preserve"> and </w:t>
      </w:r>
      <w:r w:rsidR="004A4591">
        <w:rPr>
          <w:rFonts w:asciiTheme="minorHAnsi" w:hAnsiTheme="minorHAnsi" w:cstheme="minorHAnsi"/>
        </w:rPr>
        <w:t xml:space="preserve">Micheal </w:t>
      </w:r>
      <w:r w:rsidRPr="00D7637E">
        <w:rPr>
          <w:rFonts w:asciiTheme="minorHAnsi" w:hAnsiTheme="minorHAnsi" w:cstheme="minorHAnsi"/>
        </w:rPr>
        <w:t>Odian</w:t>
      </w:r>
      <w:r w:rsidR="004A4591">
        <w:rPr>
          <w:rFonts w:asciiTheme="minorHAnsi" w:hAnsiTheme="minorHAnsi" w:cstheme="minorHAnsi"/>
        </w:rPr>
        <w:t>, DVM</w:t>
      </w:r>
    </w:p>
    <w:p w14:paraId="61465D88" w14:textId="77777777" w:rsidR="007D6B2B" w:rsidRDefault="007D6B2B" w:rsidP="00EC6FC5">
      <w:pPr>
        <w:rPr>
          <w:rFonts w:asciiTheme="minorHAnsi" w:hAnsiTheme="minorHAnsi" w:cstheme="minorHAnsi"/>
        </w:rPr>
      </w:pPr>
    </w:p>
    <w:p w14:paraId="5BB12E14" w14:textId="4A7CC803" w:rsidR="00B960C3" w:rsidRDefault="00B960C3" w:rsidP="00EC6FC5">
      <w:r w:rsidRPr="00D7637E">
        <w:rPr>
          <w:rFonts w:asciiTheme="minorHAnsi" w:hAnsiTheme="minorHAnsi" w:cstheme="minorHAnsi"/>
        </w:rPr>
        <w:t>3 resolutions passed out of committee</w:t>
      </w:r>
      <w:r w:rsidR="003E141A" w:rsidRPr="00D7637E">
        <w:rPr>
          <w:rFonts w:asciiTheme="minorHAnsi" w:hAnsiTheme="minorHAnsi" w:cstheme="minorHAnsi"/>
        </w:rPr>
        <w:t xml:space="preserve"> titled </w:t>
      </w:r>
      <w:r w:rsidR="003D2855" w:rsidRPr="00D7637E">
        <w:rPr>
          <w:rFonts w:asciiTheme="minorHAnsi" w:hAnsiTheme="minorHAnsi" w:cstheme="minorHAnsi"/>
        </w:rPr>
        <w:t>Contagious Equine Metritis Import PCR Testing for Overgrowth Conditions, Addition of Equine Piroplasmosis PCR Test for Imported Equids, and</w:t>
      </w:r>
      <w:r w:rsidR="003E141A" w:rsidRPr="00D7637E">
        <w:rPr>
          <w:rFonts w:asciiTheme="minorHAnsi" w:hAnsiTheme="minorHAnsi" w:cstheme="minorHAnsi"/>
        </w:rPr>
        <w:t xml:space="preserve"> </w:t>
      </w:r>
      <w:r w:rsidR="003D2855" w:rsidRPr="00D7637E">
        <w:rPr>
          <w:rFonts w:asciiTheme="minorHAnsi" w:hAnsiTheme="minorHAnsi" w:cstheme="minorHAnsi"/>
        </w:rPr>
        <w:t>High Health High Performance Horse Resolution</w:t>
      </w:r>
      <w:r w:rsidR="00D71913" w:rsidRPr="00D7637E">
        <w:rPr>
          <w:rFonts w:asciiTheme="minorHAnsi" w:hAnsiTheme="minorHAnsi" w:cstheme="minorHAnsi"/>
        </w:rPr>
        <w:t>.</w:t>
      </w:r>
      <w:r w:rsidR="004A4591">
        <w:rPr>
          <w:rFonts w:asciiTheme="minorHAnsi" w:hAnsiTheme="minorHAnsi" w:cstheme="minorHAnsi"/>
        </w:rPr>
        <w:t xml:space="preserve"> The committee also approved updates to the </w:t>
      </w:r>
      <w:r w:rsidR="004A4591" w:rsidRPr="004A4591">
        <w:rPr>
          <w:rFonts w:asciiTheme="minorHAnsi" w:hAnsiTheme="minorHAnsi" w:cstheme="minorHAnsi"/>
        </w:rPr>
        <w:t>Equine Herpesvirus Myeloencephalopathy Incident Response Guidelines for State Animal Health Officials</w:t>
      </w:r>
      <w:r w:rsidR="004A4591">
        <w:rPr>
          <w:rFonts w:asciiTheme="minorHAnsi" w:hAnsiTheme="minorHAnsi" w:cstheme="minorHAnsi"/>
        </w:rPr>
        <w:t xml:space="preserve"> with revision </w:t>
      </w:r>
      <w:r w:rsidR="007D6B2B">
        <w:rPr>
          <w:rFonts w:asciiTheme="minorHAnsi" w:hAnsiTheme="minorHAnsi" w:cstheme="minorHAnsi"/>
        </w:rPr>
        <w:t xml:space="preserve">date </w:t>
      </w:r>
      <w:r w:rsidR="004A4591">
        <w:rPr>
          <w:rFonts w:asciiTheme="minorHAnsi" w:hAnsiTheme="minorHAnsi" w:cstheme="minorHAnsi"/>
        </w:rPr>
        <w:t>November 2025.</w:t>
      </w:r>
    </w:p>
    <w:sectPr w:rsidR="00B960C3" w:rsidSect="005E327D">
      <w:head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0F922E" w14:textId="77777777" w:rsidR="001837CA" w:rsidRDefault="001837CA" w:rsidP="00EC6FC5">
      <w:r>
        <w:separator/>
      </w:r>
    </w:p>
  </w:endnote>
  <w:endnote w:type="continuationSeparator" w:id="0">
    <w:p w14:paraId="1941FA15" w14:textId="77777777" w:rsidR="001837CA" w:rsidRDefault="001837CA" w:rsidP="00EC6F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0BB659" w14:textId="77777777" w:rsidR="001837CA" w:rsidRDefault="001837CA" w:rsidP="00EC6FC5">
      <w:r>
        <w:separator/>
      </w:r>
    </w:p>
  </w:footnote>
  <w:footnote w:type="continuationSeparator" w:id="0">
    <w:p w14:paraId="1161CF11" w14:textId="77777777" w:rsidR="001837CA" w:rsidRDefault="001837CA" w:rsidP="00EC6FC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2C99C0" w14:textId="77777777" w:rsidR="00B74BBF" w:rsidRPr="00E40F00" w:rsidRDefault="00B74BBF" w:rsidP="00B74BBF">
    <w:pPr>
      <w:pStyle w:val="Header"/>
      <w:jc w:val="center"/>
      <w:rPr>
        <w:rFonts w:ascii="Garamond" w:hAnsi="Garamond"/>
        <w:b/>
        <w:i/>
        <w:sz w:val="24"/>
        <w:szCs w:val="24"/>
      </w:rPr>
    </w:pPr>
    <w:r>
      <w:rPr>
        <w:rFonts w:ascii="Garamond" w:hAnsi="Garamond"/>
        <w:b/>
        <w:i/>
        <w:sz w:val="24"/>
        <w:szCs w:val="24"/>
      </w:rPr>
      <w:t>129</w:t>
    </w:r>
    <w:r w:rsidRPr="00E40F00">
      <w:rPr>
        <w:rFonts w:ascii="Garamond" w:hAnsi="Garamond"/>
        <w:b/>
        <w:i/>
        <w:sz w:val="24"/>
        <w:szCs w:val="24"/>
        <w:vertAlign w:val="superscript"/>
      </w:rPr>
      <w:t>th</w:t>
    </w:r>
    <w:r>
      <w:rPr>
        <w:rFonts w:ascii="Garamond" w:hAnsi="Garamond"/>
        <w:b/>
        <w:i/>
        <w:sz w:val="24"/>
        <w:szCs w:val="24"/>
      </w:rPr>
      <w:t xml:space="preserve"> </w:t>
    </w:r>
    <w:r w:rsidRPr="00E40F00">
      <w:rPr>
        <w:rFonts w:ascii="Garamond" w:hAnsi="Garamond"/>
        <w:b/>
        <w:i/>
        <w:sz w:val="24"/>
        <w:szCs w:val="24"/>
      </w:rPr>
      <w:t xml:space="preserve">Annual Meeting of the United States Animal Health Association </w:t>
    </w:r>
  </w:p>
  <w:p w14:paraId="5E131C9C" w14:textId="77777777" w:rsidR="00B74BBF" w:rsidRPr="00E40F00" w:rsidRDefault="00B74BBF" w:rsidP="00B74BBF">
    <w:pPr>
      <w:pStyle w:val="Header"/>
      <w:jc w:val="center"/>
      <w:rPr>
        <w:rFonts w:ascii="Garamond" w:hAnsi="Garamond"/>
        <w:b/>
        <w:i/>
        <w:sz w:val="24"/>
        <w:szCs w:val="24"/>
      </w:rPr>
    </w:pPr>
    <w:r>
      <w:rPr>
        <w:rFonts w:ascii="Garamond" w:hAnsi="Garamond"/>
        <w:b/>
        <w:i/>
        <w:sz w:val="24"/>
        <w:szCs w:val="24"/>
      </w:rPr>
      <w:t>Denver, CO</w:t>
    </w:r>
  </w:p>
  <w:p w14:paraId="12700E72" w14:textId="4140A318" w:rsidR="00780AAB" w:rsidRPr="00E40F00" w:rsidRDefault="00780AAB" w:rsidP="00EC6FC5">
    <w:pPr>
      <w:pStyle w:val="Header"/>
      <w:jc w:val="center"/>
      <w:rPr>
        <w:rFonts w:ascii="Garamond" w:hAnsi="Garamond"/>
        <w:b/>
        <w:i/>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300A8"/>
    <w:multiLevelType w:val="hybridMultilevel"/>
    <w:tmpl w:val="88B895C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0C0E287B"/>
    <w:multiLevelType w:val="hybridMultilevel"/>
    <w:tmpl w:val="74B24A7C"/>
    <w:lvl w:ilvl="0" w:tplc="FD040FEA">
      <w:start w:val="1"/>
      <w:numFmt w:val="decimal"/>
      <w:lvlText w:val="%1."/>
      <w:lvlJc w:val="left"/>
      <w:pPr>
        <w:tabs>
          <w:tab w:val="num" w:pos="720"/>
        </w:tabs>
        <w:ind w:left="720" w:hanging="360"/>
      </w:pPr>
    </w:lvl>
    <w:lvl w:ilvl="1" w:tplc="EDB26518">
      <w:start w:val="1"/>
      <w:numFmt w:val="decimal"/>
      <w:lvlText w:val="%2."/>
      <w:lvlJc w:val="left"/>
      <w:pPr>
        <w:tabs>
          <w:tab w:val="num" w:pos="1440"/>
        </w:tabs>
        <w:ind w:left="1440" w:hanging="360"/>
      </w:pPr>
    </w:lvl>
    <w:lvl w:ilvl="2" w:tplc="CC404196">
      <w:start w:val="1"/>
      <w:numFmt w:val="decimal"/>
      <w:lvlText w:val="%3."/>
      <w:lvlJc w:val="left"/>
      <w:pPr>
        <w:tabs>
          <w:tab w:val="num" w:pos="2160"/>
        </w:tabs>
        <w:ind w:left="2160" w:hanging="360"/>
      </w:pPr>
    </w:lvl>
    <w:lvl w:ilvl="3" w:tplc="AADC2974">
      <w:start w:val="1"/>
      <w:numFmt w:val="decimal"/>
      <w:lvlText w:val="%4."/>
      <w:lvlJc w:val="left"/>
      <w:pPr>
        <w:tabs>
          <w:tab w:val="num" w:pos="2880"/>
        </w:tabs>
        <w:ind w:left="2880" w:hanging="360"/>
      </w:pPr>
    </w:lvl>
    <w:lvl w:ilvl="4" w:tplc="D49AAC7C">
      <w:start w:val="1"/>
      <w:numFmt w:val="decimal"/>
      <w:lvlText w:val="%5."/>
      <w:lvlJc w:val="left"/>
      <w:pPr>
        <w:tabs>
          <w:tab w:val="num" w:pos="3600"/>
        </w:tabs>
        <w:ind w:left="3600" w:hanging="360"/>
      </w:pPr>
    </w:lvl>
    <w:lvl w:ilvl="5" w:tplc="8CDC70B0">
      <w:start w:val="1"/>
      <w:numFmt w:val="decimal"/>
      <w:lvlText w:val="%6."/>
      <w:lvlJc w:val="left"/>
      <w:pPr>
        <w:tabs>
          <w:tab w:val="num" w:pos="4320"/>
        </w:tabs>
        <w:ind w:left="4320" w:hanging="360"/>
      </w:pPr>
    </w:lvl>
    <w:lvl w:ilvl="6" w:tplc="6C2C6FC6">
      <w:start w:val="1"/>
      <w:numFmt w:val="decimal"/>
      <w:lvlText w:val="%7."/>
      <w:lvlJc w:val="left"/>
      <w:pPr>
        <w:tabs>
          <w:tab w:val="num" w:pos="5040"/>
        </w:tabs>
        <w:ind w:left="5040" w:hanging="360"/>
      </w:pPr>
    </w:lvl>
    <w:lvl w:ilvl="7" w:tplc="6DF61808">
      <w:start w:val="1"/>
      <w:numFmt w:val="decimal"/>
      <w:lvlText w:val="%8."/>
      <w:lvlJc w:val="left"/>
      <w:pPr>
        <w:tabs>
          <w:tab w:val="num" w:pos="5760"/>
        </w:tabs>
        <w:ind w:left="5760" w:hanging="360"/>
      </w:pPr>
    </w:lvl>
    <w:lvl w:ilvl="8" w:tplc="50367E20">
      <w:start w:val="1"/>
      <w:numFmt w:val="decimal"/>
      <w:lvlText w:val="%9."/>
      <w:lvlJc w:val="left"/>
      <w:pPr>
        <w:tabs>
          <w:tab w:val="num" w:pos="6480"/>
        </w:tabs>
        <w:ind w:left="6480" w:hanging="360"/>
      </w:pPr>
    </w:lvl>
  </w:abstractNum>
  <w:abstractNum w:abstractNumId="2" w15:restartNumberingAfterBreak="0">
    <w:nsid w:val="108F6051"/>
    <w:multiLevelType w:val="hybridMultilevel"/>
    <w:tmpl w:val="5CB89924"/>
    <w:lvl w:ilvl="0" w:tplc="4A782EEC">
      <w:numFmt w:val="bullet"/>
      <w:lvlText w:val=""/>
      <w:lvlJc w:val="left"/>
      <w:pPr>
        <w:tabs>
          <w:tab w:val="num" w:pos="1080"/>
        </w:tabs>
        <w:ind w:left="1080" w:hanging="360"/>
      </w:pPr>
      <w:rPr>
        <w:rFonts w:ascii="Wingdings" w:hAnsi="Wingdings" w:hint="default"/>
      </w:rPr>
    </w:lvl>
    <w:lvl w:ilvl="1" w:tplc="FFFFFFFF">
      <w:numFmt w:val="bullet"/>
      <w:lvlText w:val=""/>
      <w:lvlJc w:val="left"/>
      <w:pPr>
        <w:tabs>
          <w:tab w:val="num" w:pos="1800"/>
        </w:tabs>
        <w:ind w:left="1800" w:hanging="360"/>
      </w:pPr>
      <w:rPr>
        <w:rFonts w:ascii="Wingdings" w:hAnsi="Wingdings"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Wingdings" w:hAnsi="Wingdings" w:hint="default"/>
      </w:rPr>
    </w:lvl>
    <w:lvl w:ilvl="4" w:tplc="FFFFFFFF" w:tentative="1">
      <w:start w:val="1"/>
      <w:numFmt w:val="bullet"/>
      <w:lvlText w:val=""/>
      <w:lvlJc w:val="left"/>
      <w:pPr>
        <w:tabs>
          <w:tab w:val="num" w:pos="3960"/>
        </w:tabs>
        <w:ind w:left="3960" w:hanging="360"/>
      </w:pPr>
      <w:rPr>
        <w:rFonts w:ascii="Wingdings" w:hAnsi="Wingdings"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Wingdings" w:hAnsi="Wingdings" w:hint="default"/>
      </w:rPr>
    </w:lvl>
    <w:lvl w:ilvl="7" w:tplc="FFFFFFFF" w:tentative="1">
      <w:start w:val="1"/>
      <w:numFmt w:val="bullet"/>
      <w:lvlText w:val=""/>
      <w:lvlJc w:val="left"/>
      <w:pPr>
        <w:tabs>
          <w:tab w:val="num" w:pos="6120"/>
        </w:tabs>
        <w:ind w:left="6120" w:hanging="360"/>
      </w:pPr>
      <w:rPr>
        <w:rFonts w:ascii="Wingdings" w:hAnsi="Wingdings"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3" w15:restartNumberingAfterBreak="0">
    <w:nsid w:val="10DC7BCF"/>
    <w:multiLevelType w:val="hybridMultilevel"/>
    <w:tmpl w:val="BCD60CF0"/>
    <w:lvl w:ilvl="0" w:tplc="04090001">
      <w:start w:val="1"/>
      <w:numFmt w:val="bullet"/>
      <w:lvlText w:val=""/>
      <w:lvlJc w:val="left"/>
      <w:pPr>
        <w:tabs>
          <w:tab w:val="num" w:pos="1080"/>
        </w:tabs>
        <w:ind w:left="1080" w:hanging="360"/>
      </w:pPr>
      <w:rPr>
        <w:rFonts w:ascii="Symbol" w:hAnsi="Symbol" w:hint="default"/>
      </w:rPr>
    </w:lvl>
    <w:lvl w:ilvl="1" w:tplc="4A782EEC">
      <w:numFmt w:val="bullet"/>
      <w:lvlText w:val=""/>
      <w:lvlJc w:val="left"/>
      <w:pPr>
        <w:tabs>
          <w:tab w:val="num" w:pos="1800"/>
        </w:tabs>
        <w:ind w:left="1800" w:hanging="360"/>
      </w:pPr>
      <w:rPr>
        <w:rFonts w:ascii="Wingdings" w:hAnsi="Wingdings" w:hint="default"/>
      </w:rPr>
    </w:lvl>
    <w:lvl w:ilvl="2" w:tplc="70D2C930" w:tentative="1">
      <w:start w:val="1"/>
      <w:numFmt w:val="bullet"/>
      <w:lvlText w:val=""/>
      <w:lvlJc w:val="left"/>
      <w:pPr>
        <w:tabs>
          <w:tab w:val="num" w:pos="2520"/>
        </w:tabs>
        <w:ind w:left="2520" w:hanging="360"/>
      </w:pPr>
      <w:rPr>
        <w:rFonts w:ascii="Wingdings" w:hAnsi="Wingdings" w:hint="default"/>
      </w:rPr>
    </w:lvl>
    <w:lvl w:ilvl="3" w:tplc="AF2E0E4C" w:tentative="1">
      <w:start w:val="1"/>
      <w:numFmt w:val="bullet"/>
      <w:lvlText w:val=""/>
      <w:lvlJc w:val="left"/>
      <w:pPr>
        <w:tabs>
          <w:tab w:val="num" w:pos="3240"/>
        </w:tabs>
        <w:ind w:left="3240" w:hanging="360"/>
      </w:pPr>
      <w:rPr>
        <w:rFonts w:ascii="Wingdings" w:hAnsi="Wingdings" w:hint="default"/>
      </w:rPr>
    </w:lvl>
    <w:lvl w:ilvl="4" w:tplc="EF2C0BF4" w:tentative="1">
      <w:start w:val="1"/>
      <w:numFmt w:val="bullet"/>
      <w:lvlText w:val=""/>
      <w:lvlJc w:val="left"/>
      <w:pPr>
        <w:tabs>
          <w:tab w:val="num" w:pos="3960"/>
        </w:tabs>
        <w:ind w:left="3960" w:hanging="360"/>
      </w:pPr>
      <w:rPr>
        <w:rFonts w:ascii="Wingdings" w:hAnsi="Wingdings" w:hint="default"/>
      </w:rPr>
    </w:lvl>
    <w:lvl w:ilvl="5" w:tplc="04F20524" w:tentative="1">
      <w:start w:val="1"/>
      <w:numFmt w:val="bullet"/>
      <w:lvlText w:val=""/>
      <w:lvlJc w:val="left"/>
      <w:pPr>
        <w:tabs>
          <w:tab w:val="num" w:pos="4680"/>
        </w:tabs>
        <w:ind w:left="4680" w:hanging="360"/>
      </w:pPr>
      <w:rPr>
        <w:rFonts w:ascii="Wingdings" w:hAnsi="Wingdings" w:hint="default"/>
      </w:rPr>
    </w:lvl>
    <w:lvl w:ilvl="6" w:tplc="827681F6" w:tentative="1">
      <w:start w:val="1"/>
      <w:numFmt w:val="bullet"/>
      <w:lvlText w:val=""/>
      <w:lvlJc w:val="left"/>
      <w:pPr>
        <w:tabs>
          <w:tab w:val="num" w:pos="5400"/>
        </w:tabs>
        <w:ind w:left="5400" w:hanging="360"/>
      </w:pPr>
      <w:rPr>
        <w:rFonts w:ascii="Wingdings" w:hAnsi="Wingdings" w:hint="default"/>
      </w:rPr>
    </w:lvl>
    <w:lvl w:ilvl="7" w:tplc="4B8A606E" w:tentative="1">
      <w:start w:val="1"/>
      <w:numFmt w:val="bullet"/>
      <w:lvlText w:val=""/>
      <w:lvlJc w:val="left"/>
      <w:pPr>
        <w:tabs>
          <w:tab w:val="num" w:pos="6120"/>
        </w:tabs>
        <w:ind w:left="6120" w:hanging="360"/>
      </w:pPr>
      <w:rPr>
        <w:rFonts w:ascii="Wingdings" w:hAnsi="Wingdings" w:hint="default"/>
      </w:rPr>
    </w:lvl>
    <w:lvl w:ilvl="8" w:tplc="ECDEC494" w:tentative="1">
      <w:start w:val="1"/>
      <w:numFmt w:val="bullet"/>
      <w:lvlText w:val=""/>
      <w:lvlJc w:val="left"/>
      <w:pPr>
        <w:tabs>
          <w:tab w:val="num" w:pos="6840"/>
        </w:tabs>
        <w:ind w:left="6840" w:hanging="360"/>
      </w:pPr>
      <w:rPr>
        <w:rFonts w:ascii="Wingdings" w:hAnsi="Wingdings" w:hint="default"/>
      </w:rPr>
    </w:lvl>
  </w:abstractNum>
  <w:abstractNum w:abstractNumId="4" w15:restartNumberingAfterBreak="0">
    <w:nsid w:val="29E91C63"/>
    <w:multiLevelType w:val="hybridMultilevel"/>
    <w:tmpl w:val="5600A1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AD27EED"/>
    <w:multiLevelType w:val="hybridMultilevel"/>
    <w:tmpl w:val="4D341E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 w15:restartNumberingAfterBreak="0">
    <w:nsid w:val="31222589"/>
    <w:multiLevelType w:val="hybridMultilevel"/>
    <w:tmpl w:val="853AA4C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405009B2"/>
    <w:multiLevelType w:val="hybridMultilevel"/>
    <w:tmpl w:val="FF32DCCA"/>
    <w:lvl w:ilvl="0" w:tplc="FFFFFFFF">
      <w:start w:val="1"/>
      <w:numFmt w:val="bullet"/>
      <w:lvlText w:val="•"/>
      <w:lvlJc w:val="left"/>
      <w:pPr>
        <w:tabs>
          <w:tab w:val="num" w:pos="720"/>
        </w:tabs>
        <w:ind w:left="720" w:hanging="360"/>
      </w:pPr>
      <w:rPr>
        <w:rFonts w:ascii="Arial" w:hAnsi="Arial" w:hint="default"/>
      </w:rPr>
    </w:lvl>
    <w:lvl w:ilvl="1" w:tplc="98DA5752">
      <w:start w:val="1"/>
      <w:numFmt w:val="bullet"/>
      <w:lvlText w:val="•"/>
      <w:lvlJc w:val="left"/>
      <w:pPr>
        <w:ind w:left="1440" w:hanging="360"/>
      </w:pPr>
      <w:rPr>
        <w:rFonts w:ascii="Arial" w:hAnsi="Arial"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Wingdings" w:hAnsi="Wingdings" w:hint="default"/>
      </w:rPr>
    </w:lvl>
    <w:lvl w:ilvl="4" w:tplc="FFFFFFFF" w:tentative="1">
      <w:start w:val="1"/>
      <w:numFmt w:val="bullet"/>
      <w:lvlText w:val=""/>
      <w:lvlJc w:val="left"/>
      <w:pPr>
        <w:tabs>
          <w:tab w:val="num" w:pos="3600"/>
        </w:tabs>
        <w:ind w:left="3600" w:hanging="360"/>
      </w:pPr>
      <w:rPr>
        <w:rFonts w:ascii="Wingdings" w:hAnsi="Wingdings"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Wingdings" w:hAnsi="Wingdings" w:hint="default"/>
      </w:rPr>
    </w:lvl>
    <w:lvl w:ilvl="7" w:tplc="FFFFFFFF" w:tentative="1">
      <w:start w:val="1"/>
      <w:numFmt w:val="bullet"/>
      <w:lvlText w:val=""/>
      <w:lvlJc w:val="left"/>
      <w:pPr>
        <w:tabs>
          <w:tab w:val="num" w:pos="5760"/>
        </w:tabs>
        <w:ind w:left="5760" w:hanging="360"/>
      </w:pPr>
      <w:rPr>
        <w:rFonts w:ascii="Wingdings" w:hAnsi="Wingdings"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0693F43"/>
    <w:multiLevelType w:val="hybridMultilevel"/>
    <w:tmpl w:val="B6C63B6A"/>
    <w:lvl w:ilvl="0" w:tplc="98DA5752">
      <w:start w:val="1"/>
      <w:numFmt w:val="bullet"/>
      <w:lvlText w:val="•"/>
      <w:lvlJc w:val="left"/>
      <w:pPr>
        <w:tabs>
          <w:tab w:val="num" w:pos="720"/>
        </w:tabs>
        <w:ind w:left="720" w:hanging="360"/>
      </w:pPr>
      <w:rPr>
        <w:rFonts w:ascii="Arial" w:hAnsi="Arial" w:hint="default"/>
      </w:rPr>
    </w:lvl>
    <w:lvl w:ilvl="1" w:tplc="6FD48998">
      <w:start w:val="1"/>
      <w:numFmt w:val="bullet"/>
      <w:lvlText w:val="•"/>
      <w:lvlJc w:val="left"/>
      <w:pPr>
        <w:tabs>
          <w:tab w:val="num" w:pos="1440"/>
        </w:tabs>
        <w:ind w:left="1440" w:hanging="360"/>
      </w:pPr>
      <w:rPr>
        <w:rFonts w:ascii="Arial" w:hAnsi="Arial" w:hint="default"/>
      </w:rPr>
    </w:lvl>
    <w:lvl w:ilvl="2" w:tplc="F28EB658" w:tentative="1">
      <w:start w:val="1"/>
      <w:numFmt w:val="bullet"/>
      <w:lvlText w:val="•"/>
      <w:lvlJc w:val="left"/>
      <w:pPr>
        <w:tabs>
          <w:tab w:val="num" w:pos="2160"/>
        </w:tabs>
        <w:ind w:left="2160" w:hanging="360"/>
      </w:pPr>
      <w:rPr>
        <w:rFonts w:ascii="Arial" w:hAnsi="Arial" w:hint="default"/>
      </w:rPr>
    </w:lvl>
    <w:lvl w:ilvl="3" w:tplc="0470A500" w:tentative="1">
      <w:start w:val="1"/>
      <w:numFmt w:val="bullet"/>
      <w:lvlText w:val="•"/>
      <w:lvlJc w:val="left"/>
      <w:pPr>
        <w:tabs>
          <w:tab w:val="num" w:pos="2880"/>
        </w:tabs>
        <w:ind w:left="2880" w:hanging="360"/>
      </w:pPr>
      <w:rPr>
        <w:rFonts w:ascii="Arial" w:hAnsi="Arial" w:hint="default"/>
      </w:rPr>
    </w:lvl>
    <w:lvl w:ilvl="4" w:tplc="92D43294" w:tentative="1">
      <w:start w:val="1"/>
      <w:numFmt w:val="bullet"/>
      <w:lvlText w:val="•"/>
      <w:lvlJc w:val="left"/>
      <w:pPr>
        <w:tabs>
          <w:tab w:val="num" w:pos="3600"/>
        </w:tabs>
        <w:ind w:left="3600" w:hanging="360"/>
      </w:pPr>
      <w:rPr>
        <w:rFonts w:ascii="Arial" w:hAnsi="Arial" w:hint="default"/>
      </w:rPr>
    </w:lvl>
    <w:lvl w:ilvl="5" w:tplc="AEE63470" w:tentative="1">
      <w:start w:val="1"/>
      <w:numFmt w:val="bullet"/>
      <w:lvlText w:val="•"/>
      <w:lvlJc w:val="left"/>
      <w:pPr>
        <w:tabs>
          <w:tab w:val="num" w:pos="4320"/>
        </w:tabs>
        <w:ind w:left="4320" w:hanging="360"/>
      </w:pPr>
      <w:rPr>
        <w:rFonts w:ascii="Arial" w:hAnsi="Arial" w:hint="default"/>
      </w:rPr>
    </w:lvl>
    <w:lvl w:ilvl="6" w:tplc="159C456E" w:tentative="1">
      <w:start w:val="1"/>
      <w:numFmt w:val="bullet"/>
      <w:lvlText w:val="•"/>
      <w:lvlJc w:val="left"/>
      <w:pPr>
        <w:tabs>
          <w:tab w:val="num" w:pos="5040"/>
        </w:tabs>
        <w:ind w:left="5040" w:hanging="360"/>
      </w:pPr>
      <w:rPr>
        <w:rFonts w:ascii="Arial" w:hAnsi="Arial" w:hint="default"/>
      </w:rPr>
    </w:lvl>
    <w:lvl w:ilvl="7" w:tplc="02D28636" w:tentative="1">
      <w:start w:val="1"/>
      <w:numFmt w:val="bullet"/>
      <w:lvlText w:val="•"/>
      <w:lvlJc w:val="left"/>
      <w:pPr>
        <w:tabs>
          <w:tab w:val="num" w:pos="5760"/>
        </w:tabs>
        <w:ind w:left="5760" w:hanging="360"/>
      </w:pPr>
      <w:rPr>
        <w:rFonts w:ascii="Arial" w:hAnsi="Arial" w:hint="default"/>
      </w:rPr>
    </w:lvl>
    <w:lvl w:ilvl="8" w:tplc="4612953E"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456E3DBB"/>
    <w:multiLevelType w:val="hybridMultilevel"/>
    <w:tmpl w:val="D71A7EF0"/>
    <w:lvl w:ilvl="0" w:tplc="98DA5752">
      <w:start w:val="1"/>
      <w:numFmt w:val="bullet"/>
      <w:lvlText w:val="•"/>
      <w:lvlJc w:val="left"/>
      <w:pPr>
        <w:tabs>
          <w:tab w:val="num" w:pos="720"/>
        </w:tabs>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ABA0171"/>
    <w:multiLevelType w:val="hybridMultilevel"/>
    <w:tmpl w:val="DFBCEF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2926325"/>
    <w:multiLevelType w:val="hybridMultilevel"/>
    <w:tmpl w:val="9C1C5F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E3D1438"/>
    <w:multiLevelType w:val="hybridMultilevel"/>
    <w:tmpl w:val="2E7E0872"/>
    <w:lvl w:ilvl="0" w:tplc="04090001">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ind w:left="720" w:hanging="360"/>
      </w:pPr>
      <w:rPr>
        <w:rFonts w:ascii="Courier New" w:hAnsi="Courier New" w:cs="Courier New" w:hint="default"/>
      </w:rPr>
    </w:lvl>
    <w:lvl w:ilvl="2" w:tplc="FFFFFFFF" w:tentative="1">
      <w:start w:val="1"/>
      <w:numFmt w:val="bullet"/>
      <w:lvlText w:val=""/>
      <w:lvlJc w:val="left"/>
      <w:pPr>
        <w:ind w:left="1440" w:hanging="360"/>
      </w:pPr>
      <w:rPr>
        <w:rFonts w:ascii="Wingdings" w:hAnsi="Wingdings" w:hint="default"/>
      </w:rPr>
    </w:lvl>
    <w:lvl w:ilvl="3" w:tplc="FFFFFFFF" w:tentative="1">
      <w:start w:val="1"/>
      <w:numFmt w:val="bullet"/>
      <w:lvlText w:val=""/>
      <w:lvlJc w:val="left"/>
      <w:pPr>
        <w:ind w:left="2160" w:hanging="360"/>
      </w:pPr>
      <w:rPr>
        <w:rFonts w:ascii="Symbol" w:hAnsi="Symbol" w:hint="default"/>
      </w:rPr>
    </w:lvl>
    <w:lvl w:ilvl="4" w:tplc="FFFFFFFF" w:tentative="1">
      <w:start w:val="1"/>
      <w:numFmt w:val="bullet"/>
      <w:lvlText w:val="o"/>
      <w:lvlJc w:val="left"/>
      <w:pPr>
        <w:ind w:left="2880" w:hanging="360"/>
      </w:pPr>
      <w:rPr>
        <w:rFonts w:ascii="Courier New" w:hAnsi="Courier New" w:cs="Courier New" w:hint="default"/>
      </w:rPr>
    </w:lvl>
    <w:lvl w:ilvl="5" w:tplc="FFFFFFFF" w:tentative="1">
      <w:start w:val="1"/>
      <w:numFmt w:val="bullet"/>
      <w:lvlText w:val=""/>
      <w:lvlJc w:val="left"/>
      <w:pPr>
        <w:ind w:left="3600" w:hanging="360"/>
      </w:pPr>
      <w:rPr>
        <w:rFonts w:ascii="Wingdings" w:hAnsi="Wingdings" w:hint="default"/>
      </w:rPr>
    </w:lvl>
    <w:lvl w:ilvl="6" w:tplc="FFFFFFFF" w:tentative="1">
      <w:start w:val="1"/>
      <w:numFmt w:val="bullet"/>
      <w:lvlText w:val=""/>
      <w:lvlJc w:val="left"/>
      <w:pPr>
        <w:ind w:left="4320" w:hanging="360"/>
      </w:pPr>
      <w:rPr>
        <w:rFonts w:ascii="Symbol" w:hAnsi="Symbol" w:hint="default"/>
      </w:rPr>
    </w:lvl>
    <w:lvl w:ilvl="7" w:tplc="FFFFFFFF" w:tentative="1">
      <w:start w:val="1"/>
      <w:numFmt w:val="bullet"/>
      <w:lvlText w:val="o"/>
      <w:lvlJc w:val="left"/>
      <w:pPr>
        <w:ind w:left="5040" w:hanging="360"/>
      </w:pPr>
      <w:rPr>
        <w:rFonts w:ascii="Courier New" w:hAnsi="Courier New" w:cs="Courier New" w:hint="default"/>
      </w:rPr>
    </w:lvl>
    <w:lvl w:ilvl="8" w:tplc="FFFFFFFF" w:tentative="1">
      <w:start w:val="1"/>
      <w:numFmt w:val="bullet"/>
      <w:lvlText w:val=""/>
      <w:lvlJc w:val="left"/>
      <w:pPr>
        <w:ind w:left="5760" w:hanging="360"/>
      </w:pPr>
      <w:rPr>
        <w:rFonts w:ascii="Wingdings" w:hAnsi="Wingdings" w:hint="default"/>
      </w:rPr>
    </w:lvl>
  </w:abstractNum>
  <w:abstractNum w:abstractNumId="13" w15:restartNumberingAfterBreak="0">
    <w:nsid w:val="5E732578"/>
    <w:multiLevelType w:val="hybridMultilevel"/>
    <w:tmpl w:val="6EC881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F8C56AF"/>
    <w:multiLevelType w:val="hybridMultilevel"/>
    <w:tmpl w:val="729429CA"/>
    <w:lvl w:ilvl="0" w:tplc="884067C8">
      <w:start w:val="1"/>
      <w:numFmt w:val="decimal"/>
      <w:lvlText w:val="%1."/>
      <w:lvlJc w:val="left"/>
      <w:pPr>
        <w:ind w:left="861" w:hanging="360"/>
        <w:jc w:val="left"/>
      </w:pPr>
      <w:rPr>
        <w:rFonts w:ascii="Times New Roman" w:eastAsia="Times New Roman" w:hAnsi="Times New Roman" w:cs="Times New Roman" w:hint="default"/>
        <w:b w:val="0"/>
        <w:bCs w:val="0"/>
        <w:i w:val="0"/>
        <w:iCs w:val="0"/>
        <w:spacing w:val="0"/>
        <w:w w:val="100"/>
        <w:sz w:val="20"/>
        <w:szCs w:val="20"/>
        <w:lang w:val="en-US" w:eastAsia="en-US" w:bidi="ar-SA"/>
      </w:rPr>
    </w:lvl>
    <w:lvl w:ilvl="1" w:tplc="D624DBF2">
      <w:numFmt w:val="bullet"/>
      <w:lvlText w:val="•"/>
      <w:lvlJc w:val="left"/>
      <w:pPr>
        <w:ind w:left="1734" w:hanging="360"/>
      </w:pPr>
      <w:rPr>
        <w:rFonts w:hint="default"/>
        <w:lang w:val="en-US" w:eastAsia="en-US" w:bidi="ar-SA"/>
      </w:rPr>
    </w:lvl>
    <w:lvl w:ilvl="2" w:tplc="9546344C">
      <w:numFmt w:val="bullet"/>
      <w:lvlText w:val="•"/>
      <w:lvlJc w:val="left"/>
      <w:pPr>
        <w:ind w:left="2608" w:hanging="360"/>
      </w:pPr>
      <w:rPr>
        <w:rFonts w:hint="default"/>
        <w:lang w:val="en-US" w:eastAsia="en-US" w:bidi="ar-SA"/>
      </w:rPr>
    </w:lvl>
    <w:lvl w:ilvl="3" w:tplc="B0B8EFC6">
      <w:numFmt w:val="bullet"/>
      <w:lvlText w:val="•"/>
      <w:lvlJc w:val="left"/>
      <w:pPr>
        <w:ind w:left="3482" w:hanging="360"/>
      </w:pPr>
      <w:rPr>
        <w:rFonts w:hint="default"/>
        <w:lang w:val="en-US" w:eastAsia="en-US" w:bidi="ar-SA"/>
      </w:rPr>
    </w:lvl>
    <w:lvl w:ilvl="4" w:tplc="26A6F940">
      <w:numFmt w:val="bullet"/>
      <w:lvlText w:val="•"/>
      <w:lvlJc w:val="left"/>
      <w:pPr>
        <w:ind w:left="4356" w:hanging="360"/>
      </w:pPr>
      <w:rPr>
        <w:rFonts w:hint="default"/>
        <w:lang w:val="en-US" w:eastAsia="en-US" w:bidi="ar-SA"/>
      </w:rPr>
    </w:lvl>
    <w:lvl w:ilvl="5" w:tplc="D1BA7086">
      <w:numFmt w:val="bullet"/>
      <w:lvlText w:val="•"/>
      <w:lvlJc w:val="left"/>
      <w:pPr>
        <w:ind w:left="5230" w:hanging="360"/>
      </w:pPr>
      <w:rPr>
        <w:rFonts w:hint="default"/>
        <w:lang w:val="en-US" w:eastAsia="en-US" w:bidi="ar-SA"/>
      </w:rPr>
    </w:lvl>
    <w:lvl w:ilvl="6" w:tplc="5E9AA1B0">
      <w:numFmt w:val="bullet"/>
      <w:lvlText w:val="•"/>
      <w:lvlJc w:val="left"/>
      <w:pPr>
        <w:ind w:left="6104" w:hanging="360"/>
      </w:pPr>
      <w:rPr>
        <w:rFonts w:hint="default"/>
        <w:lang w:val="en-US" w:eastAsia="en-US" w:bidi="ar-SA"/>
      </w:rPr>
    </w:lvl>
    <w:lvl w:ilvl="7" w:tplc="8C2AB6A2">
      <w:numFmt w:val="bullet"/>
      <w:lvlText w:val="•"/>
      <w:lvlJc w:val="left"/>
      <w:pPr>
        <w:ind w:left="6978" w:hanging="360"/>
      </w:pPr>
      <w:rPr>
        <w:rFonts w:hint="default"/>
        <w:lang w:val="en-US" w:eastAsia="en-US" w:bidi="ar-SA"/>
      </w:rPr>
    </w:lvl>
    <w:lvl w:ilvl="8" w:tplc="19648656">
      <w:numFmt w:val="bullet"/>
      <w:lvlText w:val="•"/>
      <w:lvlJc w:val="left"/>
      <w:pPr>
        <w:ind w:left="7852" w:hanging="360"/>
      </w:pPr>
      <w:rPr>
        <w:rFonts w:hint="default"/>
        <w:lang w:val="en-US" w:eastAsia="en-US" w:bidi="ar-SA"/>
      </w:rPr>
    </w:lvl>
  </w:abstractNum>
  <w:abstractNum w:abstractNumId="15" w15:restartNumberingAfterBreak="0">
    <w:nsid w:val="72F62183"/>
    <w:multiLevelType w:val="hybridMultilevel"/>
    <w:tmpl w:val="B01A89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55F03B3"/>
    <w:multiLevelType w:val="hybridMultilevel"/>
    <w:tmpl w:val="18863C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9BF79C7"/>
    <w:multiLevelType w:val="hybridMultilevel"/>
    <w:tmpl w:val="152229DC"/>
    <w:lvl w:ilvl="0" w:tplc="98DA5752">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A5D0A9A"/>
    <w:multiLevelType w:val="hybridMultilevel"/>
    <w:tmpl w:val="04802360"/>
    <w:lvl w:ilvl="0" w:tplc="98DA5752">
      <w:start w:val="1"/>
      <w:numFmt w:val="bullet"/>
      <w:lvlText w:val="•"/>
      <w:lvlJc w:val="left"/>
      <w:pPr>
        <w:tabs>
          <w:tab w:val="num" w:pos="720"/>
        </w:tabs>
        <w:ind w:left="720" w:hanging="360"/>
      </w:pPr>
      <w:rPr>
        <w:rFonts w:ascii="Arial" w:hAnsi="Arial" w:hint="default"/>
      </w:rPr>
    </w:lvl>
    <w:lvl w:ilvl="1" w:tplc="FFFFFFFF">
      <w:numFmt w:val="bullet"/>
      <w:lvlText w:val=""/>
      <w:lvlJc w:val="left"/>
      <w:pPr>
        <w:tabs>
          <w:tab w:val="num" w:pos="1440"/>
        </w:tabs>
        <w:ind w:left="1440" w:hanging="360"/>
      </w:pPr>
      <w:rPr>
        <w:rFonts w:ascii="Wingdings" w:hAnsi="Wingding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Wingdings" w:hAnsi="Wingdings" w:hint="default"/>
      </w:rPr>
    </w:lvl>
    <w:lvl w:ilvl="4" w:tplc="FFFFFFFF" w:tentative="1">
      <w:start w:val="1"/>
      <w:numFmt w:val="bullet"/>
      <w:lvlText w:val=""/>
      <w:lvlJc w:val="left"/>
      <w:pPr>
        <w:tabs>
          <w:tab w:val="num" w:pos="3600"/>
        </w:tabs>
        <w:ind w:left="3600" w:hanging="360"/>
      </w:pPr>
      <w:rPr>
        <w:rFonts w:ascii="Wingdings" w:hAnsi="Wingdings"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Wingdings" w:hAnsi="Wingdings" w:hint="default"/>
      </w:rPr>
    </w:lvl>
    <w:lvl w:ilvl="7" w:tplc="FFFFFFFF" w:tentative="1">
      <w:start w:val="1"/>
      <w:numFmt w:val="bullet"/>
      <w:lvlText w:val=""/>
      <w:lvlJc w:val="left"/>
      <w:pPr>
        <w:tabs>
          <w:tab w:val="num" w:pos="5760"/>
        </w:tabs>
        <w:ind w:left="5760" w:hanging="360"/>
      </w:pPr>
      <w:rPr>
        <w:rFonts w:ascii="Wingdings" w:hAnsi="Wingdings"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16cid:durableId="201591832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947128866">
    <w:abstractNumId w:val="14"/>
  </w:num>
  <w:num w:numId="3" w16cid:durableId="732581091">
    <w:abstractNumId w:val="5"/>
  </w:num>
  <w:num w:numId="4" w16cid:durableId="223175288">
    <w:abstractNumId w:val="8"/>
  </w:num>
  <w:num w:numId="5" w16cid:durableId="1061295499">
    <w:abstractNumId w:val="4"/>
  </w:num>
  <w:num w:numId="6" w16cid:durableId="1862283794">
    <w:abstractNumId w:val="12"/>
  </w:num>
  <w:num w:numId="7" w16cid:durableId="1421756102">
    <w:abstractNumId w:val="11"/>
  </w:num>
  <w:num w:numId="8" w16cid:durableId="1065374684">
    <w:abstractNumId w:val="16"/>
  </w:num>
  <w:num w:numId="9" w16cid:durableId="548805885">
    <w:abstractNumId w:val="10"/>
  </w:num>
  <w:num w:numId="10" w16cid:durableId="816843781">
    <w:abstractNumId w:val="9"/>
  </w:num>
  <w:num w:numId="11" w16cid:durableId="1790778753">
    <w:abstractNumId w:val="18"/>
  </w:num>
  <w:num w:numId="12" w16cid:durableId="805852865">
    <w:abstractNumId w:val="7"/>
  </w:num>
  <w:num w:numId="13" w16cid:durableId="1671711498">
    <w:abstractNumId w:val="17"/>
  </w:num>
  <w:num w:numId="14" w16cid:durableId="137045400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632829639">
    <w:abstractNumId w:val="15"/>
  </w:num>
  <w:num w:numId="16" w16cid:durableId="1727415879">
    <w:abstractNumId w:val="13"/>
  </w:num>
  <w:num w:numId="17" w16cid:durableId="1791165981">
    <w:abstractNumId w:val="3"/>
  </w:num>
  <w:num w:numId="18" w16cid:durableId="1084182991">
    <w:abstractNumId w:val="2"/>
  </w:num>
  <w:num w:numId="19" w16cid:durableId="35096077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6FC5"/>
    <w:rsid w:val="00004F8B"/>
    <w:rsid w:val="00044AA1"/>
    <w:rsid w:val="000B3F3E"/>
    <w:rsid w:val="000D4707"/>
    <w:rsid w:val="001837CA"/>
    <w:rsid w:val="001D18E8"/>
    <w:rsid w:val="00234AEC"/>
    <w:rsid w:val="00242CB5"/>
    <w:rsid w:val="002528BF"/>
    <w:rsid w:val="002D6A47"/>
    <w:rsid w:val="002E498C"/>
    <w:rsid w:val="002E697E"/>
    <w:rsid w:val="00307442"/>
    <w:rsid w:val="00361FF1"/>
    <w:rsid w:val="00364FA0"/>
    <w:rsid w:val="00371F89"/>
    <w:rsid w:val="003A2674"/>
    <w:rsid w:val="003B1D13"/>
    <w:rsid w:val="003C020F"/>
    <w:rsid w:val="003D2855"/>
    <w:rsid w:val="003E141A"/>
    <w:rsid w:val="003F3F95"/>
    <w:rsid w:val="00404C8A"/>
    <w:rsid w:val="00405922"/>
    <w:rsid w:val="00455998"/>
    <w:rsid w:val="00466631"/>
    <w:rsid w:val="004A4591"/>
    <w:rsid w:val="005038B5"/>
    <w:rsid w:val="00555D71"/>
    <w:rsid w:val="00573247"/>
    <w:rsid w:val="005A3032"/>
    <w:rsid w:val="005A32DF"/>
    <w:rsid w:val="005C36E6"/>
    <w:rsid w:val="005D41F2"/>
    <w:rsid w:val="005E31D0"/>
    <w:rsid w:val="005E327D"/>
    <w:rsid w:val="006950DE"/>
    <w:rsid w:val="006E08EA"/>
    <w:rsid w:val="00734A86"/>
    <w:rsid w:val="00740229"/>
    <w:rsid w:val="0075544F"/>
    <w:rsid w:val="00760992"/>
    <w:rsid w:val="00771FFD"/>
    <w:rsid w:val="00780AAB"/>
    <w:rsid w:val="00795001"/>
    <w:rsid w:val="007C384A"/>
    <w:rsid w:val="007D6B2B"/>
    <w:rsid w:val="007E158A"/>
    <w:rsid w:val="00812483"/>
    <w:rsid w:val="00867E42"/>
    <w:rsid w:val="008924B8"/>
    <w:rsid w:val="008B0026"/>
    <w:rsid w:val="008D7070"/>
    <w:rsid w:val="008F5A79"/>
    <w:rsid w:val="00925FEE"/>
    <w:rsid w:val="00985866"/>
    <w:rsid w:val="00997A7E"/>
    <w:rsid w:val="009D7C67"/>
    <w:rsid w:val="00A30774"/>
    <w:rsid w:val="00A361D5"/>
    <w:rsid w:val="00AB2171"/>
    <w:rsid w:val="00B250BF"/>
    <w:rsid w:val="00B2624A"/>
    <w:rsid w:val="00B74BBF"/>
    <w:rsid w:val="00B960C3"/>
    <w:rsid w:val="00BE3F29"/>
    <w:rsid w:val="00BE7C89"/>
    <w:rsid w:val="00C074DB"/>
    <w:rsid w:val="00C604CD"/>
    <w:rsid w:val="00CC21D0"/>
    <w:rsid w:val="00D06568"/>
    <w:rsid w:val="00D14A8C"/>
    <w:rsid w:val="00D21AC3"/>
    <w:rsid w:val="00D2341A"/>
    <w:rsid w:val="00D63C8C"/>
    <w:rsid w:val="00D71913"/>
    <w:rsid w:val="00D7637E"/>
    <w:rsid w:val="00D91EBA"/>
    <w:rsid w:val="00DC45CD"/>
    <w:rsid w:val="00DF315D"/>
    <w:rsid w:val="00E40F00"/>
    <w:rsid w:val="00E63D60"/>
    <w:rsid w:val="00E718F2"/>
    <w:rsid w:val="00E83D66"/>
    <w:rsid w:val="00EA0FA2"/>
    <w:rsid w:val="00EC6FC5"/>
    <w:rsid w:val="00EE6E07"/>
    <w:rsid w:val="00F35D80"/>
    <w:rsid w:val="00F52827"/>
    <w:rsid w:val="00F75688"/>
    <w:rsid w:val="00F85C6E"/>
    <w:rsid w:val="00F925EC"/>
    <w:rsid w:val="00FB6A3E"/>
    <w:rsid w:val="00FE47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628D18"/>
  <w15:chartTrackingRefBased/>
  <w15:docId w15:val="{3AE042D2-1E36-4937-982A-730E30A79D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1D13"/>
    <w:rPr>
      <w:rFonts w:ascii="Arial" w:hAnsi="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C6FC5"/>
    <w:pPr>
      <w:tabs>
        <w:tab w:val="center" w:pos="4680"/>
        <w:tab w:val="right" w:pos="9360"/>
      </w:tabs>
    </w:pPr>
  </w:style>
  <w:style w:type="character" w:customStyle="1" w:styleId="HeaderChar">
    <w:name w:val="Header Char"/>
    <w:link w:val="Header"/>
    <w:uiPriority w:val="99"/>
    <w:rsid w:val="00EC6FC5"/>
    <w:rPr>
      <w:rFonts w:ascii="Arial" w:hAnsi="Arial"/>
    </w:rPr>
  </w:style>
  <w:style w:type="paragraph" w:styleId="Footer">
    <w:name w:val="footer"/>
    <w:basedOn w:val="Normal"/>
    <w:link w:val="FooterChar"/>
    <w:uiPriority w:val="99"/>
    <w:unhideWhenUsed/>
    <w:rsid w:val="00EC6FC5"/>
    <w:pPr>
      <w:tabs>
        <w:tab w:val="center" w:pos="4680"/>
        <w:tab w:val="right" w:pos="9360"/>
      </w:tabs>
    </w:pPr>
  </w:style>
  <w:style w:type="character" w:customStyle="1" w:styleId="FooterChar">
    <w:name w:val="Footer Char"/>
    <w:link w:val="Footer"/>
    <w:uiPriority w:val="99"/>
    <w:rsid w:val="00EC6FC5"/>
    <w:rPr>
      <w:rFonts w:ascii="Arial" w:hAnsi="Arial"/>
    </w:rPr>
  </w:style>
  <w:style w:type="table" w:styleId="TableGrid">
    <w:name w:val="Table Grid"/>
    <w:basedOn w:val="TableNormal"/>
    <w:uiPriority w:val="59"/>
    <w:rsid w:val="00EC6FC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basedOn w:val="DefaultParagraphFont"/>
    <w:uiPriority w:val="99"/>
    <w:unhideWhenUsed/>
    <w:rsid w:val="00F85C6E"/>
    <w:rPr>
      <w:color w:val="0563C1" w:themeColor="hyperlink"/>
      <w:u w:val="single"/>
    </w:rPr>
  </w:style>
  <w:style w:type="character" w:styleId="UnresolvedMention">
    <w:name w:val="Unresolved Mention"/>
    <w:basedOn w:val="DefaultParagraphFont"/>
    <w:uiPriority w:val="99"/>
    <w:semiHidden/>
    <w:unhideWhenUsed/>
    <w:rsid w:val="00F85C6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6303237">
      <w:bodyDiv w:val="1"/>
      <w:marLeft w:val="0"/>
      <w:marRight w:val="0"/>
      <w:marTop w:val="0"/>
      <w:marBottom w:val="0"/>
      <w:divBdr>
        <w:top w:val="none" w:sz="0" w:space="0" w:color="auto"/>
        <w:left w:val="none" w:sz="0" w:space="0" w:color="auto"/>
        <w:bottom w:val="none" w:sz="0" w:space="0" w:color="auto"/>
        <w:right w:val="none" w:sz="0" w:space="0" w:color="auto"/>
      </w:divBdr>
    </w:div>
    <w:div w:id="940649722">
      <w:bodyDiv w:val="1"/>
      <w:marLeft w:val="0"/>
      <w:marRight w:val="0"/>
      <w:marTop w:val="0"/>
      <w:marBottom w:val="0"/>
      <w:divBdr>
        <w:top w:val="none" w:sz="0" w:space="0" w:color="auto"/>
        <w:left w:val="none" w:sz="0" w:space="0" w:color="auto"/>
        <w:bottom w:val="none" w:sz="0" w:space="0" w:color="auto"/>
        <w:right w:val="none" w:sz="0" w:space="0" w:color="auto"/>
      </w:divBdr>
    </w:div>
    <w:div w:id="1344937204">
      <w:bodyDiv w:val="1"/>
      <w:marLeft w:val="0"/>
      <w:marRight w:val="0"/>
      <w:marTop w:val="0"/>
      <w:marBottom w:val="0"/>
      <w:divBdr>
        <w:top w:val="none" w:sz="0" w:space="0" w:color="auto"/>
        <w:left w:val="none" w:sz="0" w:space="0" w:color="auto"/>
        <w:bottom w:val="none" w:sz="0" w:space="0" w:color="auto"/>
        <w:right w:val="none" w:sz="0" w:space="0" w:color="auto"/>
      </w:divBdr>
    </w:div>
    <w:div w:id="1600718785">
      <w:bodyDiv w:val="1"/>
      <w:marLeft w:val="0"/>
      <w:marRight w:val="0"/>
      <w:marTop w:val="0"/>
      <w:marBottom w:val="0"/>
      <w:divBdr>
        <w:top w:val="none" w:sz="0" w:space="0" w:color="auto"/>
        <w:left w:val="none" w:sz="0" w:space="0" w:color="auto"/>
        <w:bottom w:val="none" w:sz="0" w:space="0" w:color="auto"/>
        <w:right w:val="none" w:sz="0" w:space="0" w:color="auto"/>
      </w:divBdr>
    </w:div>
    <w:div w:id="19383631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sont.woah.org/portal/tool/chapter/?rid=43&amp;language=102&amp;ismanual=false&amp;standard_type=5&amp;animal_type=7&amp;in_review=false"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woah.org/fileadmin/Home/eng/Our_scientific_expertise/docs/pdf/Chevaux/A_HHP_Handbook_Oct_2018.pdf"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bulletin.woah.org/?panorama=03-1-hhp-en"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kflynn@usef.org" TargetMode="External"/><Relationship Id="rId4" Type="http://schemas.openxmlformats.org/officeDocument/2006/relationships/settings" Target="settings.xml"/><Relationship Id="rId9" Type="http://schemas.openxmlformats.org/officeDocument/2006/relationships/hyperlink" Target="https://beva.onlinelibrary.wiley.com/doi/epdf/10.1111/evj.12523"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49B26C-DA3C-47AB-88E1-1CED1F57BD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108</TotalTime>
  <Pages>8</Pages>
  <Words>3775</Words>
  <Characters>21518</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dc:creator>
  <cp:keywords/>
  <dc:description/>
  <cp:lastModifiedBy>Fisch, Joe</cp:lastModifiedBy>
  <cp:revision>5</cp:revision>
  <cp:lastPrinted>2024-10-13T15:20:00Z</cp:lastPrinted>
  <dcterms:created xsi:type="dcterms:W3CDTF">2025-11-03T13:56:00Z</dcterms:created>
  <dcterms:modified xsi:type="dcterms:W3CDTF">2025-11-03T22:54:00Z</dcterms:modified>
</cp:coreProperties>
</file>