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D2A921" w14:textId="27D0D7C3" w:rsidR="008356A6" w:rsidRDefault="00072A07" w:rsidP="00072A07">
      <w:pPr>
        <w:pStyle w:val="Heading1"/>
      </w:pPr>
      <w:r>
        <w:t xml:space="preserve">COMMITTEE ON </w:t>
      </w:r>
      <w:r w:rsidR="00E65C4C">
        <w:t>Gobal Animal Health and trade (GAHT)</w:t>
      </w:r>
    </w:p>
    <w:p w14:paraId="082CFC8C" w14:textId="2C04830C" w:rsidR="00072A07" w:rsidRDefault="00072A07" w:rsidP="00072A07">
      <w:pPr>
        <w:jc w:val="center"/>
      </w:pPr>
      <w:r>
        <w:t>Chair:</w:t>
      </w:r>
      <w:r w:rsidR="00E65C4C">
        <w:t xml:space="preserve"> Elizabeth Parker</w:t>
      </w:r>
    </w:p>
    <w:p w14:paraId="0AAF48FD" w14:textId="6A10F4EF" w:rsidR="00072A07" w:rsidRDefault="00072A07" w:rsidP="00072A07">
      <w:pPr>
        <w:jc w:val="center"/>
      </w:pPr>
      <w:r>
        <w:t>Vice Chair:</w:t>
      </w:r>
      <w:r w:rsidR="00E65C4C">
        <w:t xml:space="preserve"> Tim Richards</w:t>
      </w:r>
    </w:p>
    <w:p w14:paraId="334840E6" w14:textId="77777777" w:rsidR="00072A07" w:rsidRDefault="00072A07" w:rsidP="00072A07">
      <w:pPr>
        <w:jc w:val="center"/>
      </w:pPr>
    </w:p>
    <w:p w14:paraId="5BABA89B" w14:textId="3ECCA285" w:rsidR="00072A07" w:rsidRDefault="00072A07" w:rsidP="00072A07">
      <w:pPr>
        <w:jc w:val="center"/>
      </w:pPr>
      <w:r w:rsidRPr="00E65C4C">
        <w:rPr>
          <w:highlight w:val="yellow"/>
        </w:rPr>
        <w:t>[USAHA Staff will enter your committee roster]</w:t>
      </w:r>
    </w:p>
    <w:p w14:paraId="1BABDEF5" w14:textId="77777777" w:rsidR="0095554B" w:rsidRDefault="0095554B" w:rsidP="00072A07">
      <w:pPr>
        <w:jc w:val="center"/>
      </w:pPr>
    </w:p>
    <w:p w14:paraId="07CD87DD" w14:textId="653BB71F" w:rsidR="0095554B" w:rsidRDefault="0095554B" w:rsidP="0095554B">
      <w:pPr>
        <w:ind w:firstLine="360"/>
      </w:pPr>
      <w:r>
        <w:t xml:space="preserve">The Committee met during the </w:t>
      </w:r>
      <w:r w:rsidR="00E65C4C">
        <w:t>2024</w:t>
      </w:r>
      <w:r>
        <w:t xml:space="preserve"> Annual Meeting in </w:t>
      </w:r>
      <w:r w:rsidR="00E65C4C">
        <w:t>Nashville, Tennessee</w:t>
      </w:r>
      <w:r>
        <w:t xml:space="preserve"> on October </w:t>
      </w:r>
      <w:r w:rsidR="00E65C4C">
        <w:t>15</w:t>
      </w:r>
      <w:r>
        <w:t xml:space="preserve">. </w:t>
      </w:r>
      <w:r w:rsidRPr="00941C19">
        <w:t xml:space="preserve">There were </w:t>
      </w:r>
      <w:r w:rsidR="00941C19" w:rsidRPr="00941C19">
        <w:t>35</w:t>
      </w:r>
      <w:r w:rsidRPr="00941C19">
        <w:t xml:space="preserve"> members and </w:t>
      </w:r>
      <w:r w:rsidR="00941C19" w:rsidRPr="00941C19">
        <w:t>71</w:t>
      </w:r>
      <w:r w:rsidRPr="00941C19">
        <w:t xml:space="preserve"> guests</w:t>
      </w:r>
      <w:r w:rsidR="00941C19" w:rsidRPr="00941C19">
        <w:t>/not sure if members</w:t>
      </w:r>
      <w:r w:rsidRPr="00941C19">
        <w:t xml:space="preserve"> </w:t>
      </w:r>
      <w:proofErr w:type="gramStart"/>
      <w:r w:rsidRPr="00941C19">
        <w:t>in</w:t>
      </w:r>
      <w:proofErr w:type="gramEnd"/>
      <w:r w:rsidRPr="00941C19">
        <w:t xml:space="preserve"> attendance. </w:t>
      </w:r>
      <w:r w:rsidR="00E65C4C" w:rsidRPr="00941C19">
        <w:t xml:space="preserve">Committee members were reminded of how to access the electronic attendance </w:t>
      </w:r>
      <w:proofErr w:type="gramStart"/>
      <w:r w:rsidR="00E65C4C" w:rsidRPr="00941C19">
        <w:t>roster</w:t>
      </w:r>
      <w:proofErr w:type="gramEnd"/>
      <w:r w:rsidR="00A95872" w:rsidRPr="00941C19">
        <w:t xml:space="preserve"> and the panel was introduced.</w:t>
      </w:r>
      <w:r w:rsidR="00941C19">
        <w:t xml:space="preserve"> </w:t>
      </w:r>
      <w:r w:rsidR="00A95872" w:rsidRPr="00941C19">
        <w:t>No resolutions were submitted for c</w:t>
      </w:r>
      <w:r w:rsidR="00A95872">
        <w:t>onsideration.</w:t>
      </w:r>
    </w:p>
    <w:p w14:paraId="4010036D" w14:textId="77777777" w:rsidR="0095554B" w:rsidRDefault="0095554B" w:rsidP="0095554B"/>
    <w:p w14:paraId="2EE4518D" w14:textId="6D528112" w:rsidR="0095554B" w:rsidRDefault="00E65C4C" w:rsidP="0095554B">
      <w:pPr>
        <w:rPr>
          <w:b/>
          <w:bCs/>
        </w:rPr>
      </w:pPr>
      <w:r>
        <w:rPr>
          <w:b/>
          <w:bCs/>
        </w:rPr>
        <w:t xml:space="preserve">Panel </w:t>
      </w:r>
      <w:r w:rsidR="0095554B">
        <w:rPr>
          <w:b/>
          <w:bCs/>
        </w:rPr>
        <w:t xml:space="preserve">Presentations </w:t>
      </w:r>
    </w:p>
    <w:p w14:paraId="1B453E1B" w14:textId="6C8C30F6" w:rsidR="00E65C4C" w:rsidRDefault="00E65C4C" w:rsidP="00E65C4C">
      <w:r>
        <w:t>The GAHT committee had an industry panel discussion regarding the various considerations related to the potential use of vaccination as a tool to address US H5N1 Highly Pathogenic Avian Influenza (HPAI) outbreaks in poultry and dairy cattle and management of the virus in the US. Current US trade issues due to ongoing outbreaks, US export compartmentalization/regionalization agreement updates and the European Unions’ (EU’s) experience with H5N1 HPAI vaccination and trade were also presented. A summary of each presenter is provided below.</w:t>
      </w:r>
    </w:p>
    <w:p w14:paraId="575C2EA8" w14:textId="77777777" w:rsidR="00E65C4C" w:rsidRDefault="00E65C4C" w:rsidP="0095554B"/>
    <w:p w14:paraId="39353F81" w14:textId="77777777" w:rsidR="0095554B" w:rsidRDefault="0095554B" w:rsidP="0095554B"/>
    <w:p w14:paraId="76548B33" w14:textId="308006A1" w:rsidR="0095554B" w:rsidRDefault="00055E4C" w:rsidP="0095554B">
      <w:pPr>
        <w:rPr>
          <w:b/>
          <w:bCs/>
        </w:rPr>
      </w:pPr>
      <w:r>
        <w:rPr>
          <w:b/>
          <w:bCs/>
        </w:rPr>
        <w:t>Panelist Summaries:</w:t>
      </w:r>
    </w:p>
    <w:p w14:paraId="25BE03BD" w14:textId="77777777" w:rsidR="00E65C4C" w:rsidRDefault="00E65C4C" w:rsidP="00E65C4C">
      <w:pPr>
        <w:pStyle w:val="ListParagraph"/>
        <w:numPr>
          <w:ilvl w:val="0"/>
          <w:numId w:val="3"/>
        </w:numPr>
        <w:contextualSpacing/>
      </w:pPr>
      <w:r w:rsidRPr="00A95872">
        <w:rPr>
          <w:b/>
          <w:bCs/>
        </w:rPr>
        <w:t>Dawn Hunter,</w:t>
      </w:r>
      <w:r w:rsidRPr="00432649">
        <w:rPr>
          <w:b/>
          <w:bCs/>
        </w:rPr>
        <w:t xml:space="preserve"> Trade Policy Advisor, USDA APHIS</w:t>
      </w:r>
      <w:r>
        <w:t xml:space="preserve">  - Current trade issues related to H5N1 in the US</w:t>
      </w:r>
    </w:p>
    <w:p w14:paraId="59293C01" w14:textId="70FFA741" w:rsidR="00A95872" w:rsidRDefault="00A95872" w:rsidP="00A95872">
      <w:pPr>
        <w:pStyle w:val="ListParagraph"/>
        <w:contextualSpacing/>
      </w:pPr>
      <w:r>
        <w:t xml:space="preserve">Trade issues related to HPAI. Where are we now and where are we going, and what can you do to </w:t>
      </w:r>
      <w:proofErr w:type="gramStart"/>
      <w:r>
        <w:t>help.</w:t>
      </w:r>
      <w:proofErr w:type="gramEnd"/>
      <w:r>
        <w:t xml:space="preserve"> 2025 and beyond: compartmentalization, a growing focus on HPAI vaccination worldwide, regionalization, and export market access maintenance and expansion.</w:t>
      </w:r>
    </w:p>
    <w:p w14:paraId="62932AE5" w14:textId="77777777" w:rsidR="00A95872" w:rsidRPr="00A95872" w:rsidRDefault="00A95872" w:rsidP="00A95872">
      <w:pPr>
        <w:pStyle w:val="ListParagraph"/>
        <w:contextualSpacing/>
      </w:pPr>
    </w:p>
    <w:p w14:paraId="05A22FA6" w14:textId="1445193A" w:rsidR="00E65C4C" w:rsidRPr="00055E4C" w:rsidRDefault="00E65C4C" w:rsidP="00E65C4C">
      <w:pPr>
        <w:pStyle w:val="ListParagraph"/>
        <w:numPr>
          <w:ilvl w:val="0"/>
          <w:numId w:val="3"/>
        </w:numPr>
        <w:contextualSpacing/>
      </w:pPr>
      <w:r w:rsidRPr="00E2700F">
        <w:rPr>
          <w:b/>
          <w:bCs/>
        </w:rPr>
        <w:t xml:space="preserve">David E. Swayne, </w:t>
      </w:r>
      <w:r w:rsidR="00055E4C">
        <w:rPr>
          <w:b/>
          <w:bCs/>
        </w:rPr>
        <w:t xml:space="preserve">Private Poultry Veterinarian, </w:t>
      </w:r>
      <w:proofErr w:type="spellStart"/>
      <w:r w:rsidRPr="00E2700F">
        <w:rPr>
          <w:b/>
          <w:bCs/>
        </w:rPr>
        <w:t>Birdflu</w:t>
      </w:r>
      <w:proofErr w:type="spellEnd"/>
      <w:r w:rsidRPr="00E2700F">
        <w:rPr>
          <w:b/>
          <w:bCs/>
        </w:rPr>
        <w:t xml:space="preserve"> Veterinarian, LLC</w:t>
      </w:r>
      <w:r>
        <w:t xml:space="preserve"> </w:t>
      </w:r>
      <w:r w:rsidRPr="00055E4C">
        <w:rPr>
          <w:b/>
          <w:bCs/>
        </w:rPr>
        <w:t>– International Perspective on Vaccination with Appropriate Surveillance to Prevent and Control HPAI in Poultry and Livestock</w:t>
      </w:r>
    </w:p>
    <w:p w14:paraId="7F796ACC" w14:textId="77777777" w:rsidR="00055E4C" w:rsidRDefault="00055E4C" w:rsidP="00055E4C">
      <w:pPr>
        <w:pStyle w:val="ListParagraph"/>
        <w:contextualSpacing/>
      </w:pPr>
      <w:r>
        <w:t>The H5Nx 2.3.4.4b H5Nx goose/Guangdong (</w:t>
      </w:r>
      <w:proofErr w:type="spellStart"/>
      <w:r>
        <w:t>Gs</w:t>
      </w:r>
      <w:proofErr w:type="spellEnd"/>
      <w:r>
        <w:t xml:space="preserve">/GD) high pathogenicity avian influenza (HPAI) virus emerged in the autumn of 2020 as the beginning of the largest transcontinental panzootic of HPAI in the past 100 years and spread to USA in early 2022. As of 10 October 2024, this has resulted in 509 commercial poultry and 669 backyard HPAI affected premises resulting in over 100 million birds being culled in the USA. </w:t>
      </w:r>
    </w:p>
    <w:p w14:paraId="7002FE48" w14:textId="77777777" w:rsidR="00055E4C" w:rsidRDefault="00055E4C" w:rsidP="00055E4C">
      <w:pPr>
        <w:pStyle w:val="ListParagraph"/>
        <w:contextualSpacing/>
      </w:pPr>
      <w:r>
        <w:t>The principal components in HPAI prevention and control strategy for poultry include:</w:t>
      </w:r>
    </w:p>
    <w:p w14:paraId="3DE1F8D5" w14:textId="77777777" w:rsidR="00055E4C" w:rsidRDefault="00055E4C" w:rsidP="00055E4C">
      <w:pPr>
        <w:pStyle w:val="ListParagraph"/>
        <w:contextualSpacing/>
      </w:pPr>
      <w:r>
        <w:t>•</w:t>
      </w:r>
      <w:r>
        <w:tab/>
        <w:t>Biosecurity to keep the HPAI virus out of naïve flocks and contain the virus in affected flocks.</w:t>
      </w:r>
    </w:p>
    <w:p w14:paraId="2113D3C7" w14:textId="77777777" w:rsidR="00055E4C" w:rsidRDefault="00055E4C" w:rsidP="00055E4C">
      <w:pPr>
        <w:pStyle w:val="ListParagraph"/>
        <w:contextualSpacing/>
      </w:pPr>
      <w:r>
        <w:t>•</w:t>
      </w:r>
      <w:r>
        <w:tab/>
        <w:t>Surveillance to determine HPAIV status of the flock, and collectively the data used to declare HPAI-free country, zone and/or compartment (USA, National Poultry Improvement Plan).</w:t>
      </w:r>
    </w:p>
    <w:p w14:paraId="10B04F50" w14:textId="77777777" w:rsidR="00055E4C" w:rsidRDefault="00055E4C" w:rsidP="00055E4C">
      <w:pPr>
        <w:pStyle w:val="ListParagraph"/>
        <w:contextualSpacing/>
      </w:pPr>
      <w:r>
        <w:t>•</w:t>
      </w:r>
      <w:r>
        <w:tab/>
        <w:t>Stamping-out of HPAI-virus-affected flocks to prevent lateral spread (i.e. diagnose, quarantine with movement controls, depopulate &amp; dispose, clean &amp; disinfect, and repopulate) with components 1, 2 &amp; 3 being sufficient for detection and eradication of emergent HPAIV lineages.</w:t>
      </w:r>
    </w:p>
    <w:p w14:paraId="56DF779E" w14:textId="77777777" w:rsidR="00055E4C" w:rsidRDefault="00055E4C" w:rsidP="00055E4C">
      <w:pPr>
        <w:pStyle w:val="ListParagraph"/>
        <w:contextualSpacing/>
      </w:pPr>
      <w:r>
        <w:t>•</w:t>
      </w:r>
      <w:r>
        <w:tab/>
        <w:t xml:space="preserve">Vaccination to increase resistance of at-risk poultry to HPAI virus exposure and infection, especially for H5Nx </w:t>
      </w:r>
      <w:proofErr w:type="spellStart"/>
      <w:r>
        <w:t>Gs</w:t>
      </w:r>
      <w:proofErr w:type="spellEnd"/>
      <w:r>
        <w:t>/GD and other entrenched lineages.</w:t>
      </w:r>
    </w:p>
    <w:p w14:paraId="55FCD425" w14:textId="77777777" w:rsidR="00055E4C" w:rsidRDefault="00055E4C" w:rsidP="00055E4C">
      <w:pPr>
        <w:pStyle w:val="ListParagraph"/>
        <w:contextualSpacing/>
      </w:pPr>
    </w:p>
    <w:p w14:paraId="5F6370EC" w14:textId="77777777" w:rsidR="00055E4C" w:rsidRDefault="00055E4C" w:rsidP="00055E4C">
      <w:pPr>
        <w:pStyle w:val="ListParagraph"/>
        <w:contextualSpacing/>
      </w:pPr>
      <w:r>
        <w:t xml:space="preserve">The World Organization for Animal Health (WOAH) Terrestrial Code and Manual support vaccination as a control tool and upholds trade in vaccinated poultry in the presence of appropriate surveillance to demonstrate freedom of HPAI virus infection. With the changing epidemiology and the resulting panzootic of H5N1 </w:t>
      </w:r>
      <w:proofErr w:type="spellStart"/>
      <w:r>
        <w:t>Gs</w:t>
      </w:r>
      <w:proofErr w:type="spellEnd"/>
      <w:r>
        <w:t>/GD lineage HPAI, WOAH issued a Policy Brief on Avian Vaccination: Why It Should not be a Barrier to Safe Trade (29 Dec 2023) stating “…. stricter biosecurity measures and mass culling of poultry may no longer be sufficient to control the disease” and “…poultry vaccination can no longer be excluded from the available alternatives and should be considered a complementary tool.” Such vaccination can be a systematic or emergency program. However, vaccination is a complementary tool used in adjunct to biosecurity measures and stamping-out but does not replace them. A vaccination program should be risk-based, applied to the most susceptible poultry species and geographic areas. When used appropriately, vaccines can increase resistance to avian influenza virus infection; prevent or reduce replication; prevent illness and death; prevent or reduced environmental contamination and transmission; prevent or reduce spread; and maintained livelihoods and food security.</w:t>
      </w:r>
    </w:p>
    <w:p w14:paraId="30D5332A" w14:textId="77777777" w:rsidR="00055E4C" w:rsidRDefault="00055E4C" w:rsidP="00055E4C">
      <w:pPr>
        <w:pStyle w:val="ListParagraph"/>
        <w:contextualSpacing/>
      </w:pPr>
    </w:p>
    <w:p w14:paraId="04EFF3A4" w14:textId="77777777" w:rsidR="00055E4C" w:rsidRDefault="00055E4C" w:rsidP="00055E4C">
      <w:pPr>
        <w:pStyle w:val="ListParagraph"/>
        <w:contextualSpacing/>
      </w:pPr>
      <w:r>
        <w:t>The primary reasons countries are not vaccinating for HPAI are the potential for non-tariff trade barriers by importing countries, lack of agreement on appropriate surveillance with trading partners, and inconsistent vaccine availability. The importers aim to keep HPAI virus infected products out of commerce, but are clinical or “silent” infections common in vaccinated flocks? No. This concept is largely based on misinterpretation of laboratory-controlled vaccine efficacy studies (e.g. for vaccine licensing purposes) whose design determines if a vaccine treatment effect exists by testing vaccinated and sham poultry groups with intranasal inoculation of high virus challenge dose (6log10 EID50) and result in some low-level shedding of challenge virus, usually without clinical disease. However, this misinterpretation assumes vaccinated birds are as susceptible as non-</w:t>
      </w:r>
      <w:r>
        <w:lastRenderedPageBreak/>
        <w:t xml:space="preserve">vaccinated birds which is not true since vaccinated birds require an 1000-10000 times higher virus exposure to produce infection compared to non-vaccinated birds and any infected birds excrete 100-100,000 times less virus. Efficacy studies should only be used to inform registration of vaccines. Efficacy studies do not inform on blocking infection, transmission or spread in the field situation. By contrast, effectiveness of vaccines for the field is assessed by transmission studies which when vaccines are properly applied can stop transmission as demonstrated in recent Dutch experiments with rHVT-H5 vaccines in egg laying chickens which had R0=0; i.e. no transmission. In addition, the Hong Kong (2002-present) and French (2023-2024) field experience indicates the occurrence of clinical or silent infections are rare when vaccination is </w:t>
      </w:r>
      <w:proofErr w:type="gramStart"/>
      <w:r>
        <w:t>properly managed</w:t>
      </w:r>
      <w:proofErr w:type="gramEnd"/>
      <w:r>
        <w:t xml:space="preserve">. </w:t>
      </w:r>
    </w:p>
    <w:p w14:paraId="04628F42" w14:textId="77777777" w:rsidR="00055E4C" w:rsidRDefault="00055E4C" w:rsidP="00055E4C">
      <w:pPr>
        <w:pStyle w:val="ListParagraph"/>
        <w:contextualSpacing/>
      </w:pPr>
      <w:r>
        <w:t>To demonstrate absence of infections in vaccinated flocks, adequate and appropriate surveillance is critical. First, virological surveillance (i.</w:t>
      </w:r>
      <w:proofErr w:type="gramStart"/>
      <w:r>
        <w:t>e. ‘</w:t>
      </w:r>
      <w:proofErr w:type="gramEnd"/>
      <w:r>
        <w:t xml:space="preserve">biosensor’) identifies potential active infection for risk determination in the flock and for their products. Such surveillance uses an identifiable, susceptible population to examine for the virus. Historically, non-vaccinated sentinel birds that die have been used for HPAI, but such a program is logistically </w:t>
      </w:r>
      <w:proofErr w:type="gramStart"/>
      <w:r>
        <w:t>very difficult</w:t>
      </w:r>
      <w:proofErr w:type="gramEnd"/>
      <w:r>
        <w:t xml:space="preserve"> to organize, operate and maintain and has largely been abandoned globally. The preferred virological surveillance method is sampling and testing the daily mortality or sick birds within the vaccinated population (i.e. “bucket surveillance” of a small subpopulation without a protective immune response) and supplementing such samples with environmental samples such as swabs from waterers, egg belts, etc. However, additional studies to validate environmental samples are needed. The HPAI virus is detected in the samples by the sensitive and specific </w:t>
      </w:r>
      <w:proofErr w:type="spellStart"/>
      <w:r>
        <w:t>qRT</w:t>
      </w:r>
      <w:proofErr w:type="spellEnd"/>
      <w:r>
        <w:t xml:space="preserve">-PCR pooled swabs. Second, </w:t>
      </w:r>
      <w:proofErr w:type="spellStart"/>
      <w:r>
        <w:t>serosurveillance</w:t>
      </w:r>
      <w:proofErr w:type="spellEnd"/>
      <w:r>
        <w:t xml:space="preserve"> (i.e. historically called ‘DIVA’) detects anti-influenza A antibodies and not the virus.  This method was developed and applied in 2000-2005 in Italy and predates widespread deployment of highly specific and sensitive </w:t>
      </w:r>
      <w:proofErr w:type="spellStart"/>
      <w:r>
        <w:t>qRT</w:t>
      </w:r>
      <w:proofErr w:type="spellEnd"/>
      <w:r>
        <w:t xml:space="preserve">-PCR methods to detect virus. The use of </w:t>
      </w:r>
      <w:proofErr w:type="spellStart"/>
      <w:r>
        <w:t>qRT</w:t>
      </w:r>
      <w:proofErr w:type="spellEnd"/>
      <w:r>
        <w:t xml:space="preserve">-PCR to detect </w:t>
      </w:r>
      <w:proofErr w:type="gramStart"/>
      <w:r>
        <w:t>virus</w:t>
      </w:r>
      <w:proofErr w:type="gramEnd"/>
      <w:r>
        <w:t xml:space="preserve"> has largely replaced </w:t>
      </w:r>
      <w:proofErr w:type="spellStart"/>
      <w:r>
        <w:t>serosurveillance</w:t>
      </w:r>
      <w:proofErr w:type="spellEnd"/>
      <w:r>
        <w:t xml:space="preserve"> because the HPAI risk from affected poultry and their products is the active viral infection. However, </w:t>
      </w:r>
      <w:proofErr w:type="spellStart"/>
      <w:r>
        <w:t>serosurveillance</w:t>
      </w:r>
      <w:proofErr w:type="spellEnd"/>
      <w:r>
        <w:t xml:space="preserve"> has value to determine risk under specific circumstances such as to determine risk before major changes or ending a vaccination program. But </w:t>
      </w:r>
      <w:proofErr w:type="spellStart"/>
      <w:r>
        <w:t>serosurveillance</w:t>
      </w:r>
      <w:proofErr w:type="spellEnd"/>
      <w:r>
        <w:t xml:space="preserve"> can be overused and overinterpreted to support inappropriate non-tariff trade barriers.</w:t>
      </w:r>
    </w:p>
    <w:p w14:paraId="42F6C01A" w14:textId="77777777" w:rsidR="00055E4C" w:rsidRDefault="00055E4C" w:rsidP="00055E4C">
      <w:pPr>
        <w:pStyle w:val="ListParagraph"/>
        <w:contextualSpacing/>
      </w:pPr>
    </w:p>
    <w:p w14:paraId="541E7EB0" w14:textId="77777777" w:rsidR="00055E4C" w:rsidRDefault="00055E4C" w:rsidP="00055E4C">
      <w:pPr>
        <w:pStyle w:val="ListParagraph"/>
        <w:contextualSpacing/>
      </w:pPr>
      <w:r>
        <w:t>When using vaccination for HPAI prevention and control in poultry, avian influenza vaccine stewardship should be practiced. This includes surveillance in vaccinated flocks that is reasonable, affordable and sustainable. In general, virological surveillance is superior in assuring vaccination successful, i.e. protective immunity, in preventing infections utilizing the sampling of daily mortality (targeted samples), supplemented by environmental samples. In addition, virological surveillance provides viruses to examine for antigenic changes and their use for reassessing the vaccines for protection and any needed updates. Vaccinated birds should be monitored for protective immunity to inform on success of the vaccination program and to determine the timing of booster vaccinations.</w:t>
      </w:r>
    </w:p>
    <w:p w14:paraId="6D121908" w14:textId="77777777" w:rsidR="00055E4C" w:rsidRDefault="00055E4C" w:rsidP="00055E4C">
      <w:pPr>
        <w:pStyle w:val="ListParagraph"/>
        <w:contextualSpacing/>
      </w:pPr>
    </w:p>
    <w:p w14:paraId="30EF0A1E" w14:textId="77777777" w:rsidR="00055E4C" w:rsidRDefault="00055E4C" w:rsidP="00055E4C">
      <w:pPr>
        <w:pStyle w:val="ListParagraph"/>
        <w:contextualSpacing/>
      </w:pPr>
      <w:r>
        <w:t>The emergence of B3.13 HPAI virus infection in dairy cattle is a game changer. Prevention and control of HPAI in dairy cattle should contain:</w:t>
      </w:r>
    </w:p>
    <w:p w14:paraId="5D63F51E" w14:textId="77777777" w:rsidR="00055E4C" w:rsidRDefault="00055E4C" w:rsidP="00055E4C">
      <w:pPr>
        <w:pStyle w:val="ListParagraph"/>
        <w:contextualSpacing/>
      </w:pPr>
      <w:r>
        <w:t>•</w:t>
      </w:r>
      <w:r>
        <w:tab/>
        <w:t>Biosecurity: to keep the HPAIV out of naïve herds and keep the HPAIV in affected herds.</w:t>
      </w:r>
    </w:p>
    <w:p w14:paraId="5EBF6008" w14:textId="77777777" w:rsidR="00055E4C" w:rsidRDefault="00055E4C" w:rsidP="00055E4C">
      <w:pPr>
        <w:pStyle w:val="ListParagraph"/>
        <w:contextualSpacing/>
      </w:pPr>
      <w:r>
        <w:t>•</w:t>
      </w:r>
      <w:r>
        <w:tab/>
        <w:t xml:space="preserve">Surveillance: to determine where the virus is located so appropriate action can be taken. </w:t>
      </w:r>
    </w:p>
    <w:p w14:paraId="6ED3EE77" w14:textId="77777777" w:rsidR="00055E4C" w:rsidRDefault="00055E4C" w:rsidP="00055E4C">
      <w:pPr>
        <w:pStyle w:val="ListParagraph"/>
        <w:contextualSpacing/>
      </w:pPr>
      <w:r>
        <w:t>•</w:t>
      </w:r>
      <w:r>
        <w:tab/>
        <w:t>Movement controls: to prevent lateral spread of the HPAI virus between herds.</w:t>
      </w:r>
    </w:p>
    <w:p w14:paraId="53704A15" w14:textId="77777777" w:rsidR="00055E4C" w:rsidRDefault="00055E4C" w:rsidP="00055E4C">
      <w:pPr>
        <w:pStyle w:val="ListParagraph"/>
        <w:contextualSpacing/>
      </w:pPr>
      <w:r>
        <w:t>•</w:t>
      </w:r>
      <w:r>
        <w:tab/>
        <w:t>Vaccination: to increase resistance of cattle to HPAI infection and assure uniform immunity within the herd.</w:t>
      </w:r>
    </w:p>
    <w:p w14:paraId="15D6F567" w14:textId="77777777" w:rsidR="00055E4C" w:rsidRDefault="00055E4C" w:rsidP="00055E4C">
      <w:pPr>
        <w:pStyle w:val="ListParagraph"/>
        <w:contextualSpacing/>
      </w:pPr>
    </w:p>
    <w:p w14:paraId="729127DD" w14:textId="77777777" w:rsidR="00055E4C" w:rsidRDefault="00055E4C" w:rsidP="00055E4C">
      <w:pPr>
        <w:pStyle w:val="ListParagraph"/>
        <w:contextualSpacing/>
      </w:pPr>
      <w:r>
        <w:t xml:space="preserve">The dairy cattle issue is one of </w:t>
      </w:r>
      <w:proofErr w:type="gramStart"/>
      <w:r>
        <w:t>basic</w:t>
      </w:r>
      <w:proofErr w:type="gramEnd"/>
      <w:r>
        <w:t xml:space="preserve"> pathogen spread within a susceptible population that lacks immunity. Upon introduction of the virus into a naive herd, the acute phase of infection ensures with the HPAI virus spread rapidly in a highly susceptible population. Infection and shedding of the viruses follow a period of 7-21 days for individual animals and usually without high mortality. Most of the individuals recover with antibodies in serum and milk, and the virus infection is cleared. Thus, in dairy cattle, infection by the H5N1 B3.13 HPAI virus has a low pathogenic (LP) phenotype. As the infection process proceeds, the number of susceptible animals </w:t>
      </w:r>
      <w:proofErr w:type="gramStart"/>
      <w:r>
        <w:t>decline</w:t>
      </w:r>
      <w:proofErr w:type="gramEnd"/>
      <w:r>
        <w:t>, slowing the spread, but in a large population, you will not reach 100% infection with resulting 100% immunity as virus spread slows. This process is further complicated by introduction of naïve animals (~1/3 a year) such that the herd will not reach herd immunity without vaccination. Vaccination should be a critical part of a HPAI prevention and control program in dairy cattle.</w:t>
      </w:r>
    </w:p>
    <w:p w14:paraId="45B33302" w14:textId="77777777" w:rsidR="00055E4C" w:rsidRDefault="00055E4C" w:rsidP="00055E4C">
      <w:pPr>
        <w:pStyle w:val="ListParagraph"/>
        <w:contextualSpacing/>
      </w:pPr>
    </w:p>
    <w:p w14:paraId="3A0A9972" w14:textId="77777777" w:rsidR="00E65C4C" w:rsidRDefault="00E65C4C" w:rsidP="00E65C4C">
      <w:pPr>
        <w:pStyle w:val="ListParagraph"/>
        <w:numPr>
          <w:ilvl w:val="0"/>
          <w:numId w:val="3"/>
        </w:numPr>
        <w:contextualSpacing/>
      </w:pPr>
      <w:r w:rsidRPr="00941C19">
        <w:rPr>
          <w:b/>
          <w:bCs/>
        </w:rPr>
        <w:t>Jamie Jonker,</w:t>
      </w:r>
      <w:r w:rsidRPr="00E2700F">
        <w:rPr>
          <w:b/>
          <w:bCs/>
        </w:rPr>
        <w:t xml:space="preserve"> Chief Science Officer, National Milk Producers Federation (NMPF)</w:t>
      </w:r>
      <w:r>
        <w:t xml:space="preserve"> – </w:t>
      </w:r>
      <w:proofErr w:type="gramStart"/>
      <w:r>
        <w:t>recorded</w:t>
      </w:r>
      <w:proofErr w:type="gramEnd"/>
    </w:p>
    <w:p w14:paraId="4BF3F87E" w14:textId="58D5F6E5" w:rsidR="00A95872" w:rsidRDefault="00A95872" w:rsidP="00A95872">
      <w:pPr>
        <w:pStyle w:val="ListParagraph"/>
        <w:contextualSpacing/>
      </w:pPr>
      <w:r>
        <w:t xml:space="preserve">The last six months history of this new disease in dairy cattle was presented with current knowledge. Considerations of potential use of vaccinations in dairy cattle </w:t>
      </w:r>
      <w:r w:rsidR="00941C19">
        <w:t>were</w:t>
      </w:r>
      <w:r>
        <w:t xml:space="preserve"> presented.</w:t>
      </w:r>
    </w:p>
    <w:p w14:paraId="036D2E47" w14:textId="77777777" w:rsidR="00A95872" w:rsidRPr="00A95872" w:rsidRDefault="00A95872" w:rsidP="00A95872">
      <w:pPr>
        <w:pStyle w:val="ListParagraph"/>
        <w:contextualSpacing/>
      </w:pPr>
    </w:p>
    <w:p w14:paraId="43AD6F59" w14:textId="77777777" w:rsidR="00E65C4C" w:rsidRDefault="00E65C4C" w:rsidP="00E65C4C">
      <w:pPr>
        <w:pStyle w:val="ListParagraph"/>
        <w:numPr>
          <w:ilvl w:val="0"/>
          <w:numId w:val="3"/>
        </w:numPr>
        <w:contextualSpacing/>
        <w:rPr>
          <w:b/>
          <w:bCs/>
        </w:rPr>
      </w:pPr>
      <w:r w:rsidRPr="00E2700F">
        <w:rPr>
          <w:b/>
          <w:bCs/>
        </w:rPr>
        <w:t>Lindy Chiaia, VP of Scientific and Regulatory Affairs, National Turkey Federation (NTF)</w:t>
      </w:r>
    </w:p>
    <w:p w14:paraId="33E7BC5C" w14:textId="4A294575" w:rsidR="00055E4C" w:rsidRDefault="00055E4C" w:rsidP="00055E4C">
      <w:pPr>
        <w:pStyle w:val="ListParagraph"/>
        <w:contextualSpacing/>
      </w:pPr>
      <w:r w:rsidRPr="00055E4C">
        <w:t xml:space="preserve">The National Turkey Federation (NTF) supports research on finding an effective vaccine for Highly Pathogenic Avian Influenza (HPAI), improving vaccine technology and creating a vaccination plan for commercial poultry with minimal trade impact. As vaccine technology advances, there is growing interest in </w:t>
      </w:r>
      <w:r w:rsidRPr="00055E4C">
        <w:lastRenderedPageBreak/>
        <w:t>using an HPAI vaccine to prevent disease spread and reduce losses as part of a "stamp out" approach. NTF also supports developing safe H5Nx vaccines for dairy cows to help lower the risk of HPAI spreading to commercial poultry flocks.</w:t>
      </w:r>
    </w:p>
    <w:p w14:paraId="26411A8C" w14:textId="77777777" w:rsidR="00055E4C" w:rsidRPr="00055E4C" w:rsidRDefault="00055E4C" w:rsidP="00055E4C">
      <w:pPr>
        <w:pStyle w:val="ListParagraph"/>
        <w:contextualSpacing/>
      </w:pPr>
    </w:p>
    <w:p w14:paraId="6F95875D" w14:textId="77777777" w:rsidR="00E65C4C" w:rsidRDefault="00E65C4C" w:rsidP="00E65C4C">
      <w:pPr>
        <w:pStyle w:val="ListParagraph"/>
        <w:numPr>
          <w:ilvl w:val="0"/>
          <w:numId w:val="3"/>
        </w:numPr>
        <w:contextualSpacing/>
        <w:rPr>
          <w:b/>
          <w:bCs/>
        </w:rPr>
      </w:pPr>
      <w:r w:rsidRPr="00E2700F">
        <w:rPr>
          <w:b/>
          <w:bCs/>
        </w:rPr>
        <w:t xml:space="preserve">Ashley Peterson, </w:t>
      </w:r>
      <w:r>
        <w:rPr>
          <w:b/>
          <w:bCs/>
        </w:rPr>
        <w:t xml:space="preserve">Senior VP of Scientific and Regulatory Affairs, </w:t>
      </w:r>
      <w:r w:rsidRPr="00E2700F">
        <w:rPr>
          <w:b/>
          <w:bCs/>
        </w:rPr>
        <w:t>National Chicken Council (NCC)</w:t>
      </w:r>
    </w:p>
    <w:p w14:paraId="7714626B" w14:textId="3E60BCE8" w:rsidR="00055E4C" w:rsidRDefault="00055E4C" w:rsidP="003D74A3">
      <w:pPr>
        <w:ind w:left="360"/>
        <w:contextualSpacing/>
      </w:pPr>
      <w:r w:rsidRPr="00055E4C">
        <w:t>The current highly pathogenic avian influenza (HPAI) outbreak in the United States, which started in February 2022, has had significant impacts on the U.S. poultry industry in general.  Specific to the U.S. broiler industry, however, about six percent of all birds depopulated have been broilers (including breeding stock).  While the direct impact has been relatively small, the larger impact to the U.S. broiler industry has been trade bans initiated by trading partners.  Currently, the administration of a HPAI vaccine in any poultry species in the U.S. would have devastating impacts on the U.S. broiler industry’s ability to export product, which, in turn, would result in significant and direct economic harm to the industry.  Further, significant resources would be needed to implement a HPAI vaccination strategy from securing the vaccine, administering the vaccine, and initiating a robust surveillance program.  Continued discussions and firm agreements with our trading partners are paramount if a vaccine strategy would be initiated in the U.S.</w:t>
      </w:r>
    </w:p>
    <w:p w14:paraId="74BC16EE" w14:textId="77777777" w:rsidR="003D74A3" w:rsidRPr="00055E4C" w:rsidRDefault="003D74A3" w:rsidP="00055E4C">
      <w:pPr>
        <w:pStyle w:val="ListParagraph"/>
        <w:contextualSpacing/>
      </w:pPr>
    </w:p>
    <w:p w14:paraId="5676F96A" w14:textId="77777777" w:rsidR="00E65C4C" w:rsidRDefault="00E65C4C" w:rsidP="00E65C4C">
      <w:pPr>
        <w:pStyle w:val="ListParagraph"/>
        <w:numPr>
          <w:ilvl w:val="0"/>
          <w:numId w:val="3"/>
        </w:numPr>
        <w:contextualSpacing/>
        <w:rPr>
          <w:b/>
          <w:bCs/>
        </w:rPr>
      </w:pPr>
      <w:r w:rsidRPr="00A71873">
        <w:rPr>
          <w:b/>
          <w:bCs/>
        </w:rPr>
        <w:t>John Clifford,</w:t>
      </w:r>
      <w:r w:rsidRPr="00D937C8">
        <w:rPr>
          <w:b/>
          <w:bCs/>
        </w:rPr>
        <w:t xml:space="preserve"> Veterinary Trade Advisor, USA Poultry &amp; Egg Export Council (USAPEEC)</w:t>
      </w:r>
    </w:p>
    <w:p w14:paraId="6260394D" w14:textId="501A29DC" w:rsidR="00A71873" w:rsidRDefault="00A71873" w:rsidP="00A71873">
      <w:pPr>
        <w:pStyle w:val="ListParagraph"/>
        <w:contextualSpacing/>
      </w:pPr>
      <w:r>
        <w:t>Economic and negative trade impact concerns were presented.</w:t>
      </w:r>
    </w:p>
    <w:p w14:paraId="1325AE35" w14:textId="77777777" w:rsidR="00A71873" w:rsidRPr="00A71873" w:rsidRDefault="00A71873" w:rsidP="00A71873">
      <w:pPr>
        <w:pStyle w:val="ListParagraph"/>
        <w:contextualSpacing/>
      </w:pPr>
    </w:p>
    <w:p w14:paraId="2D4B3073" w14:textId="56A93DC7" w:rsidR="00E65C4C" w:rsidRPr="00A71873" w:rsidRDefault="00E65C4C" w:rsidP="00E65C4C">
      <w:pPr>
        <w:pStyle w:val="ListParagraph"/>
        <w:numPr>
          <w:ilvl w:val="0"/>
          <w:numId w:val="3"/>
        </w:numPr>
        <w:contextualSpacing/>
      </w:pPr>
      <w:r w:rsidRPr="00A71873">
        <w:rPr>
          <w:b/>
          <w:bCs/>
        </w:rPr>
        <w:t>Francisco (Paco) Reviriego-Gordejo, Directorate-General for Health and Food Safety, European Commission</w:t>
      </w:r>
      <w:r w:rsidRPr="00A71873">
        <w:t xml:space="preserve"> – E</w:t>
      </w:r>
      <w:r w:rsidR="00A95872" w:rsidRPr="00A71873">
        <w:t xml:space="preserve">uropean </w:t>
      </w:r>
      <w:r w:rsidRPr="00A71873">
        <w:t>U</w:t>
      </w:r>
      <w:r w:rsidR="00A95872" w:rsidRPr="00A71873">
        <w:t>nion</w:t>
      </w:r>
      <w:r w:rsidRPr="00A71873">
        <w:t xml:space="preserve"> experiences and perspectives</w:t>
      </w:r>
    </w:p>
    <w:p w14:paraId="0A4D1C28" w14:textId="2E5E6DCD" w:rsidR="00E65C4C" w:rsidRDefault="00A95872" w:rsidP="00A95872">
      <w:pPr>
        <w:ind w:left="720"/>
      </w:pPr>
      <w:r w:rsidRPr="00A71873">
        <w:t>Main points of the EU</w:t>
      </w:r>
      <w:r>
        <w:t xml:space="preserve"> experiences, and in particular France’s HPAI vaccination pilot in ducks was </w:t>
      </w:r>
      <w:r w:rsidR="00A71873">
        <w:t>presented</w:t>
      </w:r>
      <w:r>
        <w:t>, including:  the s</w:t>
      </w:r>
      <w:r>
        <w:t>cience</w:t>
      </w:r>
      <w:r>
        <w:t xml:space="preserve">, </w:t>
      </w:r>
      <w:r>
        <w:t>EU standards</w:t>
      </w:r>
      <w:r>
        <w:t>, e</w:t>
      </w:r>
      <w:r>
        <w:t>xperience</w:t>
      </w:r>
      <w:r>
        <w:t xml:space="preserve"> over the last two years, s</w:t>
      </w:r>
      <w:r>
        <w:t>uccess</w:t>
      </w:r>
      <w:r>
        <w:t>es, c</w:t>
      </w:r>
      <w:r>
        <w:t>hallenges</w:t>
      </w:r>
      <w:r>
        <w:t xml:space="preserve"> and </w:t>
      </w:r>
      <w:r w:rsidR="00A71873">
        <w:t>development of poultry c</w:t>
      </w:r>
      <w:r>
        <w:t>ompartments</w:t>
      </w:r>
      <w:r w:rsidR="00A71873">
        <w:t xml:space="preserve"> related to HPAI.</w:t>
      </w:r>
    </w:p>
    <w:p w14:paraId="2C685C7D" w14:textId="77777777" w:rsidR="00A71873" w:rsidRDefault="00A71873" w:rsidP="0095554B"/>
    <w:p w14:paraId="6AD7DFA5" w14:textId="2798CFCB" w:rsidR="00E65C4C" w:rsidRDefault="00E65C4C" w:rsidP="0095554B">
      <w:r>
        <w:t xml:space="preserve">A question and answer session from the audience completed the panel. </w:t>
      </w:r>
    </w:p>
    <w:p w14:paraId="344AB45C" w14:textId="77777777" w:rsidR="00E65C4C" w:rsidRDefault="00E65C4C" w:rsidP="0095554B"/>
    <w:p w14:paraId="5B118B8F" w14:textId="727E8C30" w:rsidR="00E65C4C" w:rsidRDefault="003D74A3" w:rsidP="00E65C4C">
      <w:r>
        <w:t>PowerPoint</w:t>
      </w:r>
      <w:r w:rsidR="00055E4C">
        <w:t xml:space="preserve"> presentations for Dawn Hunter, David Swayne</w:t>
      </w:r>
      <w:r>
        <w:t>, Jamie Jonker</w:t>
      </w:r>
      <w:r w:rsidR="00A71873">
        <w:t>, Ashley Peterson</w:t>
      </w:r>
      <w:r>
        <w:t xml:space="preserve"> and </w:t>
      </w:r>
      <w:r w:rsidRPr="00A71873">
        <w:t>Paco Reviriego-Gordejo</w:t>
      </w:r>
      <w:r w:rsidR="00055E4C" w:rsidRPr="00A71873">
        <w:t xml:space="preserve"> accompany this report.</w:t>
      </w:r>
    </w:p>
    <w:p w14:paraId="35CCD1AC" w14:textId="77777777" w:rsidR="00A71873" w:rsidRDefault="00A71873" w:rsidP="00E65C4C"/>
    <w:p w14:paraId="558CD478" w14:textId="2583C02B" w:rsidR="0095554B" w:rsidRDefault="0095554B" w:rsidP="0095554B">
      <w:r w:rsidRPr="00A71873">
        <w:rPr>
          <w:b/>
          <w:bCs/>
        </w:rPr>
        <w:t xml:space="preserve">Committee Business: </w:t>
      </w:r>
      <w:r w:rsidR="00A71873">
        <w:t>No resolutions were submitted. Mo Salman reminded the committee on the value of the USDA Foreign Agriculture Service (FAS) Borlaug program to educate and train government officials from our trading partner countries, which helps facilitate their understanding of science and processes for safely trading with the US and therefore facilitates improved trade discussions for US livestock commodities.</w:t>
      </w:r>
    </w:p>
    <w:p w14:paraId="43A32B83" w14:textId="77777777" w:rsidR="00A71873" w:rsidRDefault="00A71873" w:rsidP="0095554B"/>
    <w:p w14:paraId="1CD3E617" w14:textId="77777777" w:rsidR="00941C19" w:rsidRDefault="00A71873" w:rsidP="0095554B">
      <w:r>
        <w:t>Addendums: ppt presentations</w:t>
      </w:r>
    </w:p>
    <w:p w14:paraId="6C391FF6" w14:textId="7F0CB93D" w:rsidR="00A71873" w:rsidRPr="00A71873" w:rsidRDefault="00941C19" w:rsidP="0095554B">
      <w:r>
        <w:object w:dxaOrig="1487" w:dyaOrig="993" w14:anchorId="79DC261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4.4pt;height:49.6pt" o:ole="">
            <v:imagedata r:id="rId5" o:title=""/>
          </v:shape>
          <o:OLEObject Type="Embed" ProgID="Acrobat.Document.2017" ShapeID="_x0000_i1025" DrawAspect="Icon" ObjectID="_1790500672" r:id="rId6"/>
        </w:object>
      </w:r>
      <w:r>
        <w:t xml:space="preserve"> </w:t>
      </w:r>
      <w:r>
        <w:object w:dxaOrig="1487" w:dyaOrig="993" w14:anchorId="6390BE9C">
          <v:shape id="_x0000_i1026" type="#_x0000_t75" style="width:74.4pt;height:49.6pt" o:ole="">
            <v:imagedata r:id="rId7" o:title=""/>
          </v:shape>
          <o:OLEObject Type="Embed" ProgID="Acrobat.Document.2017" ShapeID="_x0000_i1026" DrawAspect="Icon" ObjectID="_1790500673" r:id="rId8"/>
        </w:object>
      </w:r>
      <w:r>
        <w:t xml:space="preserve"> </w:t>
      </w:r>
      <w:r>
        <w:object w:dxaOrig="1487" w:dyaOrig="993" w14:anchorId="3615B521">
          <v:shape id="_x0000_i1027" type="#_x0000_t75" style="width:74.4pt;height:49.6pt" o:ole="">
            <v:imagedata r:id="rId9" o:title=""/>
          </v:shape>
          <o:OLEObject Type="Embed" ProgID="Acrobat.Document.2017" ShapeID="_x0000_i1027" DrawAspect="Icon" ObjectID="_1790500674" r:id="rId10"/>
        </w:object>
      </w:r>
      <w:r>
        <w:t xml:space="preserve"> </w:t>
      </w:r>
      <w:r>
        <w:object w:dxaOrig="1487" w:dyaOrig="993" w14:anchorId="45A2CF8C">
          <v:shape id="_x0000_i1028" type="#_x0000_t75" style="width:74.4pt;height:49.6pt" o:ole="">
            <v:imagedata r:id="rId11" o:title=""/>
          </v:shape>
          <o:OLEObject Type="Embed" ProgID="Acrobat.Document.2017" ShapeID="_x0000_i1028" DrawAspect="Icon" ObjectID="_1790500675" r:id="rId12"/>
        </w:object>
      </w:r>
      <w:r>
        <w:t xml:space="preserve"> </w:t>
      </w:r>
      <w:r>
        <w:object w:dxaOrig="1487" w:dyaOrig="993" w14:anchorId="262B467C">
          <v:shape id="_x0000_i1029" type="#_x0000_t75" style="width:74.4pt;height:49.6pt" o:ole="">
            <v:imagedata r:id="rId13" o:title=""/>
          </v:shape>
          <o:OLEObject Type="Embed" ProgID="Acrobat.Document.2017" ShapeID="_x0000_i1029" DrawAspect="Icon" ObjectID="_1790500676" r:id="rId14"/>
        </w:object>
      </w:r>
    </w:p>
    <w:sectPr w:rsidR="00A71873" w:rsidRPr="00A71873" w:rsidSect="009A10CD">
      <w:pgSz w:w="12240" w:h="15840" w:code="1"/>
      <w:pgMar w:top="720" w:right="72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 w15:restartNumberingAfterBreak="0">
    <w:nsid w:val="55183A78"/>
    <w:multiLevelType w:val="hybridMultilevel"/>
    <w:tmpl w:val="41DE51EE"/>
    <w:lvl w:ilvl="0" w:tplc="96F02358">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80985066">
    <w:abstractNumId w:val="0"/>
  </w:num>
  <w:num w:numId="2" w16cid:durableId="1141190922">
    <w:abstractNumId w:val="0"/>
  </w:num>
  <w:num w:numId="3" w16cid:durableId="12606794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4"/>
  <w:mirrorMargin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A07"/>
    <w:rsid w:val="00055E4C"/>
    <w:rsid w:val="00072A07"/>
    <w:rsid w:val="001E313B"/>
    <w:rsid w:val="002647A2"/>
    <w:rsid w:val="003D74A3"/>
    <w:rsid w:val="00697E01"/>
    <w:rsid w:val="008356A6"/>
    <w:rsid w:val="00917B4C"/>
    <w:rsid w:val="00941C19"/>
    <w:rsid w:val="0095554B"/>
    <w:rsid w:val="0099068B"/>
    <w:rsid w:val="009A10CD"/>
    <w:rsid w:val="00A13BED"/>
    <w:rsid w:val="00A71873"/>
    <w:rsid w:val="00A95872"/>
    <w:rsid w:val="00D26254"/>
    <w:rsid w:val="00E65C4C"/>
    <w:rsid w:val="00ED77E4"/>
    <w:rsid w:val="00FE1A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845F8"/>
  <w15:chartTrackingRefBased/>
  <w15:docId w15:val="{56AE96B0-7297-42EC-AD53-1F98CD1F3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Times New Roman"/>
        <w:kern w:val="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068B"/>
  </w:style>
  <w:style w:type="paragraph" w:styleId="Heading1">
    <w:name w:val="heading 1"/>
    <w:aliases w:val="Proc Heading"/>
    <w:basedOn w:val="Normal"/>
    <w:link w:val="Heading1Char"/>
    <w:qFormat/>
    <w:rsid w:val="0099068B"/>
    <w:pPr>
      <w:jc w:val="center"/>
      <w:outlineLvl w:val="0"/>
    </w:pPr>
    <w:rPr>
      <w:rFonts w:eastAsiaTheme="majorEastAsia" w:cstheme="majorBidi"/>
      <w:b/>
      <w:caps/>
    </w:rPr>
  </w:style>
  <w:style w:type="paragraph" w:styleId="Heading2">
    <w:name w:val="heading 2"/>
    <w:basedOn w:val="Normal"/>
    <w:link w:val="Heading2Char"/>
    <w:uiPriority w:val="9"/>
    <w:rsid w:val="0099068B"/>
    <w:pPr>
      <w:shd w:val="clear" w:color="auto" w:fill="FFFFFF"/>
      <w:spacing w:before="100" w:beforeAutospacing="1" w:after="100" w:afterAutospacing="1"/>
      <w:outlineLvl w:val="1"/>
    </w:pPr>
    <w:rPr>
      <w:rFonts w:eastAsia="Times New Roman"/>
      <w:b/>
      <w:bCs/>
      <w:color w:val="FF4500"/>
      <w:sz w:val="17"/>
      <w:szCs w:val="17"/>
    </w:rPr>
  </w:style>
  <w:style w:type="paragraph" w:styleId="Heading3">
    <w:name w:val="heading 3"/>
    <w:basedOn w:val="Normal"/>
    <w:next w:val="Normal"/>
    <w:link w:val="Heading3Char"/>
    <w:semiHidden/>
    <w:unhideWhenUsed/>
    <w:qFormat/>
    <w:rsid w:val="0099068B"/>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semiHidden/>
    <w:unhideWhenUsed/>
    <w:qFormat/>
    <w:rsid w:val="0099068B"/>
    <w:pPr>
      <w:keepNext/>
      <w:spacing w:before="240" w:after="60"/>
      <w:outlineLvl w:val="3"/>
    </w:pPr>
    <w:rPr>
      <w:rFonts w:eastAsia="Times New Roman"/>
      <w:b/>
      <w:bCs/>
      <w:sz w:val="28"/>
      <w:szCs w:val="28"/>
    </w:rPr>
  </w:style>
  <w:style w:type="paragraph" w:styleId="Heading5">
    <w:name w:val="heading 5"/>
    <w:basedOn w:val="Normal"/>
    <w:next w:val="Normal"/>
    <w:link w:val="Heading5Char"/>
    <w:semiHidden/>
    <w:unhideWhenUsed/>
    <w:qFormat/>
    <w:rsid w:val="0099068B"/>
    <w:pPr>
      <w:spacing w:before="240" w:after="60"/>
      <w:outlineLvl w:val="4"/>
    </w:pPr>
    <w:rPr>
      <w:rFonts w:eastAsia="Times New Roman"/>
      <w:b/>
      <w:bCs/>
      <w:i/>
      <w:iCs/>
      <w:sz w:val="26"/>
      <w:szCs w:val="26"/>
    </w:rPr>
  </w:style>
  <w:style w:type="paragraph" w:styleId="Heading6">
    <w:name w:val="heading 6"/>
    <w:basedOn w:val="Normal"/>
    <w:next w:val="Normal"/>
    <w:link w:val="Heading6Char"/>
    <w:semiHidden/>
    <w:unhideWhenUsed/>
    <w:qFormat/>
    <w:rsid w:val="0099068B"/>
    <w:pPr>
      <w:spacing w:before="240" w:after="60"/>
      <w:outlineLvl w:val="5"/>
    </w:pPr>
    <w:rPr>
      <w:rFonts w:eastAsia="Times New Roman"/>
      <w:b/>
      <w:bCs/>
      <w:sz w:val="22"/>
      <w:szCs w:val="22"/>
    </w:rPr>
  </w:style>
  <w:style w:type="paragraph" w:styleId="Heading7">
    <w:name w:val="heading 7"/>
    <w:basedOn w:val="Normal"/>
    <w:next w:val="Normal"/>
    <w:link w:val="Heading7Char"/>
    <w:semiHidden/>
    <w:unhideWhenUsed/>
    <w:qFormat/>
    <w:rsid w:val="0099068B"/>
    <w:pPr>
      <w:spacing w:before="240" w:after="60"/>
      <w:outlineLvl w:val="6"/>
    </w:pPr>
    <w:rPr>
      <w:rFonts w:eastAsia="Times New Roman"/>
      <w:sz w:val="24"/>
    </w:rPr>
  </w:style>
  <w:style w:type="paragraph" w:styleId="Heading8">
    <w:name w:val="heading 8"/>
    <w:basedOn w:val="Normal"/>
    <w:next w:val="Normal"/>
    <w:link w:val="Heading8Char"/>
    <w:semiHidden/>
    <w:unhideWhenUsed/>
    <w:qFormat/>
    <w:rsid w:val="0099068B"/>
    <w:pPr>
      <w:spacing w:before="240" w:after="60"/>
      <w:outlineLvl w:val="7"/>
    </w:pPr>
    <w:rPr>
      <w:rFonts w:eastAsia="Times New Roman"/>
      <w:i/>
      <w:iCs/>
      <w:sz w:val="24"/>
    </w:rPr>
  </w:style>
  <w:style w:type="paragraph" w:styleId="Heading9">
    <w:name w:val="heading 9"/>
    <w:basedOn w:val="Normal"/>
    <w:next w:val="Normal"/>
    <w:link w:val="Heading9Char"/>
    <w:semiHidden/>
    <w:unhideWhenUsed/>
    <w:qFormat/>
    <w:rsid w:val="0099068B"/>
    <w:pPr>
      <w:spacing w:before="240" w:after="60"/>
      <w:outlineLvl w:val="8"/>
    </w:pPr>
    <w:rPr>
      <w:rFonts w:ascii="Cambria" w:eastAsia="Times New Roman"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cBody">
    <w:name w:val="Proc Body"/>
    <w:basedOn w:val="Normal"/>
    <w:link w:val="ProcBodyChar"/>
    <w:qFormat/>
    <w:rsid w:val="0099068B"/>
    <w:pPr>
      <w:ind w:firstLine="360"/>
    </w:pPr>
    <w:rPr>
      <w:rFonts w:eastAsia="Times New Roman"/>
    </w:rPr>
  </w:style>
  <w:style w:type="character" w:customStyle="1" w:styleId="ProcBodyChar">
    <w:name w:val="Proc Body Char"/>
    <w:link w:val="ProcBody"/>
    <w:rsid w:val="0099068B"/>
    <w:rPr>
      <w:rFonts w:ascii="Arial" w:eastAsia="Times New Roman" w:hAnsi="Arial" w:cs="Times New Roman"/>
      <w:sz w:val="20"/>
      <w:szCs w:val="20"/>
    </w:rPr>
  </w:style>
  <w:style w:type="paragraph" w:customStyle="1" w:styleId="ProcBodyHeading">
    <w:name w:val="Proc Body Heading"/>
    <w:basedOn w:val="ProcBody"/>
    <w:link w:val="ProcBodyHeadingChar"/>
    <w:qFormat/>
    <w:rsid w:val="0099068B"/>
    <w:pPr>
      <w:ind w:firstLine="0"/>
    </w:pPr>
    <w:rPr>
      <w:b/>
    </w:rPr>
  </w:style>
  <w:style w:type="character" w:customStyle="1" w:styleId="ProcBodyHeadingChar">
    <w:name w:val="Proc Body Heading Char"/>
    <w:link w:val="ProcBodyHeading"/>
    <w:rsid w:val="0099068B"/>
    <w:rPr>
      <w:rFonts w:ascii="Arial" w:eastAsia="Times New Roman" w:hAnsi="Arial" w:cs="Times New Roman"/>
      <w:b/>
      <w:sz w:val="20"/>
      <w:szCs w:val="20"/>
    </w:rPr>
  </w:style>
  <w:style w:type="paragraph" w:customStyle="1" w:styleId="ProcBullets">
    <w:name w:val="Proc Bullets"/>
    <w:basedOn w:val="Normal"/>
    <w:qFormat/>
    <w:rsid w:val="0099068B"/>
    <w:pPr>
      <w:numPr>
        <w:numId w:val="2"/>
      </w:numPr>
      <w:jc w:val="both"/>
    </w:pPr>
    <w:rPr>
      <w:rFonts w:eastAsia="Times New Roman" w:cs="Arial"/>
      <w:bCs/>
    </w:rPr>
  </w:style>
  <w:style w:type="paragraph" w:customStyle="1" w:styleId="ProcSubHeading">
    <w:name w:val="Proc Sub Heading"/>
    <w:basedOn w:val="Normal"/>
    <w:link w:val="ProcSubHeadingChar"/>
    <w:qFormat/>
    <w:rsid w:val="0099068B"/>
    <w:pPr>
      <w:autoSpaceDE w:val="0"/>
      <w:autoSpaceDN w:val="0"/>
      <w:adjustRightInd w:val="0"/>
      <w:jc w:val="center"/>
    </w:pPr>
    <w:rPr>
      <w:rFonts w:eastAsia="Times New Roman"/>
      <w:szCs w:val="32"/>
    </w:rPr>
  </w:style>
  <w:style w:type="character" w:customStyle="1" w:styleId="ProcSubHeadingChar">
    <w:name w:val="Proc Sub Heading Char"/>
    <w:link w:val="ProcSubHeading"/>
    <w:rsid w:val="0099068B"/>
    <w:rPr>
      <w:rFonts w:ascii="Arial" w:eastAsia="Times New Roman" w:hAnsi="Arial" w:cs="Times New Roman"/>
      <w:sz w:val="20"/>
      <w:szCs w:val="32"/>
    </w:rPr>
  </w:style>
  <w:style w:type="paragraph" w:customStyle="1" w:styleId="ProcMbrlist">
    <w:name w:val="Proc Mbr list"/>
    <w:basedOn w:val="ProcSubHeading"/>
    <w:link w:val="ProcMbrlistChar"/>
    <w:qFormat/>
    <w:rsid w:val="0099068B"/>
    <w:pPr>
      <w:jc w:val="both"/>
    </w:pPr>
  </w:style>
  <w:style w:type="character" w:customStyle="1" w:styleId="ProcMbrlistChar">
    <w:name w:val="Proc Mbr list Char"/>
    <w:link w:val="ProcMbrlist"/>
    <w:rsid w:val="0099068B"/>
    <w:rPr>
      <w:rFonts w:ascii="Arial" w:eastAsia="Times New Roman" w:hAnsi="Arial" w:cs="Times New Roman"/>
      <w:sz w:val="20"/>
      <w:szCs w:val="32"/>
    </w:rPr>
  </w:style>
  <w:style w:type="paragraph" w:customStyle="1" w:styleId="ProcMbrLst">
    <w:name w:val="Proc Mbr Lst"/>
    <w:basedOn w:val="Normal"/>
    <w:qFormat/>
    <w:rsid w:val="0099068B"/>
    <w:pPr>
      <w:jc w:val="both"/>
    </w:pPr>
    <w:rPr>
      <w:rFonts w:eastAsia="Times New Roman"/>
      <w:noProof/>
    </w:rPr>
  </w:style>
  <w:style w:type="paragraph" w:customStyle="1" w:styleId="ProcReferences">
    <w:name w:val="Proc References"/>
    <w:basedOn w:val="ProcBody"/>
    <w:link w:val="ProcReferencesChar"/>
    <w:qFormat/>
    <w:rsid w:val="0099068B"/>
    <w:pPr>
      <w:ind w:left="360" w:hanging="360"/>
    </w:pPr>
  </w:style>
  <w:style w:type="character" w:customStyle="1" w:styleId="ProcReferencesChar">
    <w:name w:val="Proc References Char"/>
    <w:link w:val="ProcReferences"/>
    <w:rsid w:val="0099068B"/>
    <w:rPr>
      <w:rFonts w:ascii="Arial" w:eastAsia="Times New Roman" w:hAnsi="Arial" w:cs="Times New Roman"/>
      <w:sz w:val="20"/>
      <w:szCs w:val="20"/>
    </w:rPr>
  </w:style>
  <w:style w:type="paragraph" w:customStyle="1" w:styleId="ProcSubHead">
    <w:name w:val="Proc Sub Head"/>
    <w:basedOn w:val="Normal"/>
    <w:qFormat/>
    <w:rsid w:val="0099068B"/>
    <w:pPr>
      <w:jc w:val="center"/>
    </w:pPr>
    <w:rPr>
      <w:rFonts w:eastAsia="Times New Roman"/>
    </w:rPr>
  </w:style>
  <w:style w:type="paragraph" w:customStyle="1" w:styleId="ProcHdr">
    <w:name w:val="ProcHdr"/>
    <w:basedOn w:val="Heading1"/>
    <w:link w:val="ProcHdrChar"/>
    <w:qFormat/>
    <w:rsid w:val="0099068B"/>
    <w:pPr>
      <w:keepNext/>
      <w:spacing w:before="240" w:after="60" w:line="276" w:lineRule="auto"/>
      <w:jc w:val="left"/>
    </w:pPr>
    <w:rPr>
      <w:bCs/>
      <w:caps w:val="0"/>
      <w:kern w:val="32"/>
      <w:sz w:val="32"/>
      <w:szCs w:val="32"/>
    </w:rPr>
  </w:style>
  <w:style w:type="character" w:customStyle="1" w:styleId="ProcHdrChar">
    <w:name w:val="ProcHdr Char"/>
    <w:basedOn w:val="DefaultParagraphFont"/>
    <w:link w:val="ProcHdr"/>
    <w:rsid w:val="0099068B"/>
    <w:rPr>
      <w:rFonts w:ascii="Arial" w:eastAsiaTheme="majorEastAsia" w:hAnsi="Arial" w:cstheme="majorBidi"/>
      <w:b/>
      <w:bCs/>
      <w:kern w:val="32"/>
      <w:sz w:val="32"/>
      <w:szCs w:val="32"/>
    </w:rPr>
  </w:style>
  <w:style w:type="character" w:customStyle="1" w:styleId="Heading1Char">
    <w:name w:val="Heading 1 Char"/>
    <w:aliases w:val="Proc Heading Char"/>
    <w:link w:val="Heading1"/>
    <w:rsid w:val="0099068B"/>
    <w:rPr>
      <w:rFonts w:ascii="Arial" w:eastAsiaTheme="majorEastAsia" w:hAnsi="Arial" w:cstheme="majorBidi"/>
      <w:b/>
      <w:caps/>
      <w:sz w:val="20"/>
      <w:szCs w:val="20"/>
    </w:rPr>
  </w:style>
  <w:style w:type="paragraph" w:customStyle="1" w:styleId="ResHdr">
    <w:name w:val="ResHdr"/>
    <w:basedOn w:val="Normal"/>
    <w:link w:val="ResHdrChar"/>
    <w:autoRedefine/>
    <w:qFormat/>
    <w:rsid w:val="0099068B"/>
    <w:pPr>
      <w:widowControl w:val="0"/>
    </w:pPr>
    <w:rPr>
      <w:b/>
      <w:caps/>
    </w:rPr>
  </w:style>
  <w:style w:type="character" w:customStyle="1" w:styleId="ResHdrChar">
    <w:name w:val="ResHdr Char"/>
    <w:basedOn w:val="DefaultParagraphFont"/>
    <w:link w:val="ResHdr"/>
    <w:rsid w:val="0099068B"/>
    <w:rPr>
      <w:rFonts w:ascii="Arial" w:hAnsi="Arial"/>
      <w:b/>
      <w:caps/>
      <w:sz w:val="20"/>
      <w:szCs w:val="20"/>
    </w:rPr>
  </w:style>
  <w:style w:type="paragraph" w:customStyle="1" w:styleId="Style1">
    <w:name w:val="Style1"/>
    <w:basedOn w:val="ListParagraph"/>
    <w:qFormat/>
    <w:rsid w:val="0099068B"/>
    <w:pPr>
      <w:ind w:hanging="360"/>
      <w:jc w:val="both"/>
    </w:pPr>
    <w:rPr>
      <w:rFonts w:eastAsia="Times New Roman" w:cs="Arial"/>
    </w:rPr>
  </w:style>
  <w:style w:type="paragraph" w:styleId="ListParagraph">
    <w:name w:val="List Paragraph"/>
    <w:basedOn w:val="Normal"/>
    <w:uiPriority w:val="34"/>
    <w:qFormat/>
    <w:rsid w:val="0099068B"/>
    <w:pPr>
      <w:ind w:left="720"/>
    </w:pPr>
  </w:style>
  <w:style w:type="paragraph" w:customStyle="1" w:styleId="Default">
    <w:name w:val="Default"/>
    <w:rsid w:val="0099068B"/>
    <w:pPr>
      <w:autoSpaceDE w:val="0"/>
      <w:autoSpaceDN w:val="0"/>
      <w:adjustRightInd w:val="0"/>
    </w:pPr>
    <w:rPr>
      <w:rFonts w:eastAsia="Calibri" w:cs="Arial"/>
      <w:color w:val="000000"/>
      <w:sz w:val="24"/>
      <w:szCs w:val="24"/>
    </w:rPr>
  </w:style>
  <w:style w:type="paragraph" w:customStyle="1" w:styleId="Normal37">
    <w:name w:val="Normal+37"/>
    <w:basedOn w:val="Default"/>
    <w:next w:val="Default"/>
    <w:uiPriority w:val="99"/>
    <w:rsid w:val="0099068B"/>
    <w:pPr>
      <w:widowControl w:val="0"/>
    </w:pPr>
    <w:rPr>
      <w:rFonts w:eastAsiaTheme="minorEastAsia"/>
      <w:color w:val="auto"/>
    </w:rPr>
  </w:style>
  <w:style w:type="paragraph" w:customStyle="1" w:styleId="yiv6955135338msonormal">
    <w:name w:val="yiv6955135338msonormal"/>
    <w:basedOn w:val="Normal"/>
    <w:rsid w:val="0099068B"/>
    <w:pPr>
      <w:spacing w:before="100" w:beforeAutospacing="1" w:after="100" w:afterAutospacing="1"/>
    </w:pPr>
    <w:rPr>
      <w:rFonts w:ascii="Times New Roman" w:eastAsia="Times New Roman" w:hAnsi="Times New Roman"/>
      <w:sz w:val="24"/>
    </w:rPr>
  </w:style>
  <w:style w:type="paragraph" w:customStyle="1" w:styleId="yiv3910526817msonormal">
    <w:name w:val="yiv3910526817msonormal"/>
    <w:basedOn w:val="Normal"/>
    <w:rsid w:val="0099068B"/>
    <w:pPr>
      <w:spacing w:before="100" w:beforeAutospacing="1" w:after="100" w:afterAutospacing="1"/>
    </w:pPr>
    <w:rPr>
      <w:rFonts w:ascii="Times New Roman" w:eastAsia="Times New Roman" w:hAnsi="Times New Roman"/>
      <w:sz w:val="24"/>
    </w:rPr>
  </w:style>
  <w:style w:type="character" w:customStyle="1" w:styleId="Heading2Char">
    <w:name w:val="Heading 2 Char"/>
    <w:link w:val="Heading2"/>
    <w:uiPriority w:val="9"/>
    <w:rsid w:val="0099068B"/>
    <w:rPr>
      <w:rFonts w:ascii="Arial" w:eastAsia="Times New Roman" w:hAnsi="Arial" w:cs="Times New Roman"/>
      <w:b/>
      <w:bCs/>
      <w:color w:val="FF4500"/>
      <w:sz w:val="17"/>
      <w:szCs w:val="17"/>
      <w:shd w:val="clear" w:color="auto" w:fill="FFFFFF"/>
    </w:rPr>
  </w:style>
  <w:style w:type="character" w:customStyle="1" w:styleId="Heading3Char">
    <w:name w:val="Heading 3 Char"/>
    <w:link w:val="Heading3"/>
    <w:semiHidden/>
    <w:rsid w:val="0099068B"/>
    <w:rPr>
      <w:rFonts w:ascii="Cambria" w:eastAsia="Times New Roman" w:hAnsi="Cambria" w:cs="Times New Roman"/>
      <w:b/>
      <w:bCs/>
      <w:sz w:val="26"/>
      <w:szCs w:val="26"/>
    </w:rPr>
  </w:style>
  <w:style w:type="character" w:customStyle="1" w:styleId="Heading4Char">
    <w:name w:val="Heading 4 Char"/>
    <w:link w:val="Heading4"/>
    <w:semiHidden/>
    <w:rsid w:val="0099068B"/>
    <w:rPr>
      <w:rFonts w:ascii="Arial" w:eastAsia="Times New Roman" w:hAnsi="Arial" w:cs="Times New Roman"/>
      <w:b/>
      <w:bCs/>
      <w:sz w:val="28"/>
      <w:szCs w:val="28"/>
    </w:rPr>
  </w:style>
  <w:style w:type="character" w:customStyle="1" w:styleId="Heading5Char">
    <w:name w:val="Heading 5 Char"/>
    <w:link w:val="Heading5"/>
    <w:semiHidden/>
    <w:rsid w:val="0099068B"/>
    <w:rPr>
      <w:rFonts w:ascii="Arial" w:eastAsia="Times New Roman" w:hAnsi="Arial" w:cs="Times New Roman"/>
      <w:b/>
      <w:bCs/>
      <w:i/>
      <w:iCs/>
      <w:sz w:val="26"/>
      <w:szCs w:val="26"/>
    </w:rPr>
  </w:style>
  <w:style w:type="character" w:customStyle="1" w:styleId="Heading6Char">
    <w:name w:val="Heading 6 Char"/>
    <w:link w:val="Heading6"/>
    <w:semiHidden/>
    <w:rsid w:val="0099068B"/>
    <w:rPr>
      <w:rFonts w:ascii="Arial" w:eastAsia="Times New Roman" w:hAnsi="Arial" w:cs="Times New Roman"/>
      <w:b/>
      <w:bCs/>
    </w:rPr>
  </w:style>
  <w:style w:type="character" w:customStyle="1" w:styleId="Heading7Char">
    <w:name w:val="Heading 7 Char"/>
    <w:link w:val="Heading7"/>
    <w:semiHidden/>
    <w:rsid w:val="0099068B"/>
    <w:rPr>
      <w:rFonts w:ascii="Arial" w:eastAsia="Times New Roman" w:hAnsi="Arial" w:cs="Times New Roman"/>
      <w:sz w:val="24"/>
      <w:szCs w:val="20"/>
    </w:rPr>
  </w:style>
  <w:style w:type="character" w:customStyle="1" w:styleId="Heading8Char">
    <w:name w:val="Heading 8 Char"/>
    <w:link w:val="Heading8"/>
    <w:semiHidden/>
    <w:rsid w:val="0099068B"/>
    <w:rPr>
      <w:rFonts w:ascii="Arial" w:eastAsia="Times New Roman" w:hAnsi="Arial" w:cs="Times New Roman"/>
      <w:i/>
      <w:iCs/>
      <w:sz w:val="24"/>
      <w:szCs w:val="20"/>
    </w:rPr>
  </w:style>
  <w:style w:type="character" w:customStyle="1" w:styleId="Heading9Char">
    <w:name w:val="Heading 9 Char"/>
    <w:link w:val="Heading9"/>
    <w:semiHidden/>
    <w:rsid w:val="0099068B"/>
    <w:rPr>
      <w:rFonts w:ascii="Cambria" w:eastAsia="Times New Roman" w:hAnsi="Cambria" w:cs="Times New Roman"/>
    </w:rPr>
  </w:style>
  <w:style w:type="paragraph" w:styleId="Header">
    <w:name w:val="header"/>
    <w:basedOn w:val="Normal"/>
    <w:link w:val="HeaderChar"/>
    <w:uiPriority w:val="99"/>
    <w:rsid w:val="0099068B"/>
    <w:pPr>
      <w:tabs>
        <w:tab w:val="center" w:pos="4680"/>
        <w:tab w:val="right" w:pos="9360"/>
      </w:tabs>
    </w:pPr>
    <w:rPr>
      <w:rFonts w:eastAsia="Times New Roman"/>
    </w:rPr>
  </w:style>
  <w:style w:type="character" w:customStyle="1" w:styleId="HeaderChar">
    <w:name w:val="Header Char"/>
    <w:link w:val="Header"/>
    <w:uiPriority w:val="99"/>
    <w:rsid w:val="0099068B"/>
    <w:rPr>
      <w:rFonts w:ascii="Arial" w:eastAsia="Times New Roman" w:hAnsi="Arial" w:cs="Times New Roman"/>
      <w:sz w:val="20"/>
      <w:szCs w:val="20"/>
    </w:rPr>
  </w:style>
  <w:style w:type="paragraph" w:styleId="Footer">
    <w:name w:val="footer"/>
    <w:basedOn w:val="Normal"/>
    <w:link w:val="FooterChar"/>
    <w:uiPriority w:val="99"/>
    <w:unhideWhenUsed/>
    <w:rsid w:val="0099068B"/>
    <w:pPr>
      <w:tabs>
        <w:tab w:val="center" w:pos="4680"/>
        <w:tab w:val="right" w:pos="9360"/>
      </w:tabs>
    </w:pPr>
    <w:rPr>
      <w:rFonts w:eastAsia="Times New Roman"/>
    </w:rPr>
  </w:style>
  <w:style w:type="character" w:customStyle="1" w:styleId="FooterChar">
    <w:name w:val="Footer Char"/>
    <w:link w:val="Footer"/>
    <w:uiPriority w:val="99"/>
    <w:rsid w:val="0099068B"/>
    <w:rPr>
      <w:rFonts w:ascii="Arial" w:eastAsia="Times New Roman" w:hAnsi="Arial" w:cs="Times New Roman"/>
      <w:sz w:val="20"/>
      <w:szCs w:val="20"/>
    </w:rPr>
  </w:style>
  <w:style w:type="paragraph" w:styleId="EnvelopeAddress">
    <w:name w:val="envelope address"/>
    <w:basedOn w:val="Normal"/>
    <w:uiPriority w:val="99"/>
    <w:semiHidden/>
    <w:unhideWhenUsed/>
    <w:rsid w:val="0099068B"/>
    <w:pPr>
      <w:framePr w:w="7920" w:h="1980" w:hRule="exact" w:hSpace="180" w:wrap="auto" w:hAnchor="page" w:xAlign="center" w:yAlign="bottom"/>
      <w:ind w:left="2880"/>
    </w:pPr>
    <w:rPr>
      <w:rFonts w:eastAsiaTheme="majorEastAsia" w:cstheme="majorBidi"/>
      <w:sz w:val="24"/>
      <w:szCs w:val="24"/>
    </w:rPr>
  </w:style>
  <w:style w:type="paragraph" w:styleId="BodyText">
    <w:name w:val="Body Text"/>
    <w:basedOn w:val="Normal"/>
    <w:link w:val="BodyTextChar"/>
    <w:rsid w:val="0099068B"/>
    <w:pPr>
      <w:tabs>
        <w:tab w:val="center" w:pos="4680"/>
      </w:tabs>
      <w:suppressAutoHyphens/>
    </w:pPr>
    <w:rPr>
      <w:rFonts w:eastAsia="Times New Roman"/>
      <w:b/>
      <w:spacing w:val="-3"/>
      <w:sz w:val="30"/>
    </w:rPr>
  </w:style>
  <w:style w:type="character" w:customStyle="1" w:styleId="BodyTextChar">
    <w:name w:val="Body Text Char"/>
    <w:link w:val="BodyText"/>
    <w:rsid w:val="0099068B"/>
    <w:rPr>
      <w:rFonts w:ascii="Arial" w:eastAsia="Times New Roman" w:hAnsi="Arial" w:cs="Times New Roman"/>
      <w:b/>
      <w:spacing w:val="-3"/>
      <w:sz w:val="30"/>
      <w:szCs w:val="20"/>
    </w:rPr>
  </w:style>
  <w:style w:type="paragraph" w:styleId="BodyTextIndent2">
    <w:name w:val="Body Text Indent 2"/>
    <w:basedOn w:val="Normal"/>
    <w:link w:val="BodyTextIndent2Char"/>
    <w:semiHidden/>
    <w:unhideWhenUsed/>
    <w:rsid w:val="0099068B"/>
    <w:pPr>
      <w:spacing w:after="120" w:line="480" w:lineRule="auto"/>
      <w:ind w:left="360"/>
    </w:pPr>
    <w:rPr>
      <w:rFonts w:eastAsia="Times New Roman"/>
    </w:rPr>
  </w:style>
  <w:style w:type="character" w:customStyle="1" w:styleId="BodyTextIndent2Char">
    <w:name w:val="Body Text Indent 2 Char"/>
    <w:link w:val="BodyTextIndent2"/>
    <w:semiHidden/>
    <w:rsid w:val="0099068B"/>
    <w:rPr>
      <w:rFonts w:ascii="Arial" w:eastAsia="Times New Roman" w:hAnsi="Arial" w:cs="Times New Roman"/>
      <w:sz w:val="20"/>
      <w:szCs w:val="20"/>
    </w:rPr>
  </w:style>
  <w:style w:type="character" w:styleId="Hyperlink">
    <w:name w:val="Hyperlink"/>
    <w:uiPriority w:val="99"/>
    <w:unhideWhenUsed/>
    <w:rsid w:val="0099068B"/>
    <w:rPr>
      <w:color w:val="0000FF"/>
      <w:u w:val="single"/>
    </w:rPr>
  </w:style>
  <w:style w:type="character" w:styleId="Strong">
    <w:name w:val="Strong"/>
    <w:uiPriority w:val="22"/>
    <w:qFormat/>
    <w:rsid w:val="0099068B"/>
    <w:rPr>
      <w:b/>
      <w:bCs/>
    </w:rPr>
  </w:style>
  <w:style w:type="character" w:styleId="Emphasis">
    <w:name w:val="Emphasis"/>
    <w:uiPriority w:val="20"/>
    <w:qFormat/>
    <w:rsid w:val="0099068B"/>
    <w:rPr>
      <w:i/>
      <w:iCs/>
    </w:rPr>
  </w:style>
  <w:style w:type="paragraph" w:styleId="BalloonText">
    <w:name w:val="Balloon Text"/>
    <w:basedOn w:val="Normal"/>
    <w:link w:val="BalloonTextChar"/>
    <w:uiPriority w:val="99"/>
    <w:semiHidden/>
    <w:unhideWhenUsed/>
    <w:rsid w:val="0099068B"/>
    <w:rPr>
      <w:rFonts w:ascii="Tahoma" w:eastAsia="Times New Roman" w:hAnsi="Tahoma"/>
      <w:sz w:val="16"/>
      <w:szCs w:val="16"/>
    </w:rPr>
  </w:style>
  <w:style w:type="character" w:customStyle="1" w:styleId="BalloonTextChar">
    <w:name w:val="Balloon Text Char"/>
    <w:link w:val="BalloonText"/>
    <w:uiPriority w:val="99"/>
    <w:semiHidden/>
    <w:rsid w:val="0099068B"/>
    <w:rPr>
      <w:rFonts w:ascii="Tahoma" w:eastAsia="Times New Roman" w:hAnsi="Tahoma" w:cs="Times New Roman"/>
      <w:sz w:val="16"/>
      <w:szCs w:val="16"/>
    </w:rPr>
  </w:style>
  <w:style w:type="paragraph" w:styleId="NoSpacing">
    <w:name w:val="No Spacing"/>
    <w:uiPriority w:val="1"/>
    <w:qFormat/>
    <w:rsid w:val="0099068B"/>
    <w:pPr>
      <w:ind w:firstLine="360"/>
    </w:pPr>
    <w:rPr>
      <w:rFonts w:ascii="Book Antiqua" w:eastAsia="Calibri" w:hAnsi="Book Antiq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emf"/><Relationship Id="rId3" Type="http://schemas.openxmlformats.org/officeDocument/2006/relationships/settings" Target="settings.xml"/><Relationship Id="rId7" Type="http://schemas.openxmlformats.org/officeDocument/2006/relationships/image" Target="media/image2.emf"/><Relationship Id="rId12" Type="http://schemas.openxmlformats.org/officeDocument/2006/relationships/oleObject" Target="embeddings/oleObject4.bin"/><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emf"/><Relationship Id="rId5" Type="http://schemas.openxmlformats.org/officeDocument/2006/relationships/image" Target="media/image1.emf"/><Relationship Id="rId15" Type="http://schemas.openxmlformats.org/officeDocument/2006/relationships/fontTable" Target="fontTable.xml"/><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oleObject" Target="embeddings/oleObject5.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2003</Words>
  <Characters>11420</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KLJ</dc:creator>
  <cp:keywords/>
  <dc:description/>
  <cp:lastModifiedBy>Elizabeth J. Parker</cp:lastModifiedBy>
  <cp:revision>2</cp:revision>
  <dcterms:created xsi:type="dcterms:W3CDTF">2024-10-15T17:31:00Z</dcterms:created>
  <dcterms:modified xsi:type="dcterms:W3CDTF">2024-10-15T17:31:00Z</dcterms:modified>
</cp:coreProperties>
</file>