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2A921" w14:textId="565619F5" w:rsidR="008356A6" w:rsidRDefault="00814721" w:rsidP="00072A07">
      <w:pPr>
        <w:pStyle w:val="Heading1"/>
      </w:pPr>
      <w:r>
        <w:t xml:space="preserve">USHA/AAVLD </w:t>
      </w:r>
      <w:r w:rsidR="00072A07">
        <w:t xml:space="preserve">COMMITTEE ON </w:t>
      </w:r>
      <w:r>
        <w:t>Animal health surveillance and information system</w:t>
      </w:r>
    </w:p>
    <w:p w14:paraId="082CFC8C" w14:textId="0D7A0C2F" w:rsidR="00072A07" w:rsidRDefault="00814721" w:rsidP="00072A07">
      <w:pPr>
        <w:jc w:val="center"/>
      </w:pPr>
      <w:r>
        <w:t>US</w:t>
      </w:r>
      <w:r w:rsidR="008465A4">
        <w:t>A</w:t>
      </w:r>
      <w:r>
        <w:t xml:space="preserve">HA </w:t>
      </w:r>
      <w:r w:rsidR="00072A07">
        <w:t>Chair:</w:t>
      </w:r>
      <w:r>
        <w:t xml:space="preserve"> Brian McCluskey</w:t>
      </w:r>
    </w:p>
    <w:p w14:paraId="0AAF48FD" w14:textId="5C9D70D6" w:rsidR="00072A07" w:rsidRDefault="00814721" w:rsidP="00072A07">
      <w:pPr>
        <w:jc w:val="center"/>
      </w:pPr>
      <w:r>
        <w:t xml:space="preserve">AAVLD </w:t>
      </w:r>
      <w:r w:rsidR="00072A07">
        <w:t>Chair:</w:t>
      </w:r>
      <w:r>
        <w:t xml:space="preserve"> Leticia Linhares</w:t>
      </w:r>
    </w:p>
    <w:p w14:paraId="334840E6" w14:textId="77777777" w:rsidR="00072A07" w:rsidRDefault="00072A07" w:rsidP="00072A07">
      <w:pPr>
        <w:jc w:val="center"/>
      </w:pPr>
    </w:p>
    <w:p w14:paraId="07CD87DD" w14:textId="4F1FCB9A" w:rsidR="001279F1" w:rsidRPr="000A634D" w:rsidRDefault="0095554B" w:rsidP="001279F1">
      <w:pPr>
        <w:ind w:firstLine="360"/>
        <w:rPr>
          <w:rFonts w:cs="Arial"/>
        </w:rPr>
      </w:pPr>
      <w:r>
        <w:t xml:space="preserve">The Committee met during the </w:t>
      </w:r>
      <w:r w:rsidR="009105C1">
        <w:t xml:space="preserve">2026 </w:t>
      </w:r>
      <w:r>
        <w:t xml:space="preserve">Annual Meeting in </w:t>
      </w:r>
      <w:r w:rsidR="009105C1">
        <w:t>Madison, WI</w:t>
      </w:r>
      <w:r w:rsidR="00814721">
        <w:t>,</w:t>
      </w:r>
      <w:r w:rsidR="009105C1">
        <w:t xml:space="preserve"> </w:t>
      </w:r>
      <w:r>
        <w:t xml:space="preserve">on October </w:t>
      </w:r>
      <w:r w:rsidR="00814721">
        <w:t>19 from 10:15 am – 12:15 pm</w:t>
      </w:r>
      <w:r>
        <w:t xml:space="preserve">. </w:t>
      </w:r>
    </w:p>
    <w:p w14:paraId="644F1348" w14:textId="142B3E6C" w:rsidR="00722CE7" w:rsidRPr="006B2BC1" w:rsidRDefault="00722CE7" w:rsidP="00722CE7">
      <w:pPr>
        <w:rPr>
          <w:rFonts w:cs="Arial"/>
        </w:rPr>
      </w:pPr>
      <w:r w:rsidRPr="000A634D">
        <w:rPr>
          <w:rFonts w:cs="Arial"/>
        </w:rPr>
        <w:t xml:space="preserve">An initial headcount </w:t>
      </w:r>
      <w:r w:rsidR="008F73F2">
        <w:rPr>
          <w:rFonts w:cs="Arial"/>
        </w:rPr>
        <w:t xml:space="preserve">showed 126 individuals </w:t>
      </w:r>
      <w:r w:rsidRPr="000A634D">
        <w:rPr>
          <w:rFonts w:cs="Arial"/>
        </w:rPr>
        <w:t xml:space="preserve">in the meeting room and standing at the access door. The meeting was adjourned </w:t>
      </w:r>
      <w:r w:rsidRPr="008465A4">
        <w:rPr>
          <w:rFonts w:cs="Arial"/>
        </w:rPr>
        <w:t>at 12:0</w:t>
      </w:r>
      <w:r w:rsidR="00154BFD" w:rsidRPr="008465A4">
        <w:rPr>
          <w:rFonts w:cs="Arial"/>
        </w:rPr>
        <w:t>7</w:t>
      </w:r>
      <w:r w:rsidRPr="008465A4">
        <w:rPr>
          <w:rFonts w:cs="Arial"/>
        </w:rPr>
        <w:t xml:space="preserve"> pm. Attendance was taken online through the QR code sign. No discussion was warranted on previous resolutions. </w:t>
      </w:r>
      <w:r w:rsidR="008F73F2" w:rsidRPr="008465A4">
        <w:rPr>
          <w:rFonts w:cs="Arial"/>
        </w:rPr>
        <w:t>One proposed resolution was sent electronically to committee members one day in advance for consideration and discussion at the in-person gathering. No resolutions were brought forward from the floor.</w:t>
      </w:r>
      <w:r w:rsidR="00A22537">
        <w:rPr>
          <w:rFonts w:cs="Arial"/>
        </w:rPr>
        <w:t xml:space="preserve"> The resolution considered was approved without discussion.</w:t>
      </w:r>
    </w:p>
    <w:p w14:paraId="577CC490" w14:textId="77777777" w:rsidR="00722CE7" w:rsidRDefault="00722CE7" w:rsidP="0095554B">
      <w:pPr>
        <w:ind w:firstLine="360"/>
      </w:pPr>
    </w:p>
    <w:p w14:paraId="4010036D" w14:textId="77777777" w:rsidR="0095554B" w:rsidRDefault="0095554B" w:rsidP="0095554B"/>
    <w:p w14:paraId="2EE4518D" w14:textId="408E4C48" w:rsidR="0095554B" w:rsidRDefault="0095554B" w:rsidP="0095554B">
      <w:r>
        <w:rPr>
          <w:b/>
          <w:bCs/>
        </w:rPr>
        <w:t>Presentations &amp; Reports</w:t>
      </w:r>
    </w:p>
    <w:p w14:paraId="39353F81" w14:textId="77777777" w:rsidR="0095554B" w:rsidRDefault="0095554B" w:rsidP="0095554B"/>
    <w:p w14:paraId="76548B33" w14:textId="1C8D27E7" w:rsidR="0095554B" w:rsidRDefault="00E018F9" w:rsidP="0095554B">
      <w:pPr>
        <w:rPr>
          <w:b/>
          <w:bCs/>
        </w:rPr>
      </w:pPr>
      <w:r w:rsidRPr="00E018F9">
        <w:rPr>
          <w:b/>
          <w:bCs/>
        </w:rPr>
        <w:t>The Role of Animal Disease Surveillance in Improving Biosecurity - Poultry</w:t>
      </w:r>
    </w:p>
    <w:p w14:paraId="13DED446" w14:textId="709370CF" w:rsidR="00132617" w:rsidRPr="00EC6004" w:rsidRDefault="00132617" w:rsidP="00132617">
      <w:pPr>
        <w:rPr>
          <w:b/>
          <w:bCs/>
        </w:rPr>
      </w:pPr>
      <w:r w:rsidRPr="00EC6004">
        <w:rPr>
          <w:b/>
          <w:bCs/>
        </w:rPr>
        <w:t xml:space="preserve">Presenter: </w:t>
      </w:r>
      <w:r w:rsidR="00A66DDC" w:rsidRPr="00EC6004">
        <w:rPr>
          <w:b/>
          <w:bCs/>
        </w:rPr>
        <w:t>Yuko Sato, Iowa State University</w:t>
      </w:r>
      <w:r w:rsidR="0076032E" w:rsidRPr="00EC6004">
        <w:rPr>
          <w:b/>
          <w:bCs/>
        </w:rPr>
        <w:t>’s Poultry Extension Veterinarian and Diagnostic Pathologist</w:t>
      </w:r>
    </w:p>
    <w:p w14:paraId="11655746" w14:textId="2F9229D1" w:rsidR="008139A9" w:rsidRDefault="009843B7" w:rsidP="002F2038">
      <w:r>
        <w:t xml:space="preserve">Dr. </w:t>
      </w:r>
      <w:r w:rsidR="00A22537">
        <w:t>Sato</w:t>
      </w:r>
      <w:r>
        <w:t xml:space="preserve"> </w:t>
      </w:r>
      <w:r w:rsidR="00DB48B6">
        <w:t>explained that commercial poultry uses several disease surveillance methods at the flock level to prevent, control, and eradicate regulatory and nonregulatory diseases and</w:t>
      </w:r>
      <w:r w:rsidR="002F2038" w:rsidRPr="002F2038">
        <w:t xml:space="preserve"> improve biosecurity. </w:t>
      </w:r>
      <w:r w:rsidR="00DB48B6">
        <w:t>This presentation focuses on active and passive disease surveillance, using specific examples from established disease surveillance programs such as the FDA Egg Rule and NPIP, which is geared toward preventing</w:t>
      </w:r>
      <w:r w:rsidR="002F2038" w:rsidRPr="002F2038">
        <w:t xml:space="preserve"> vertically transmitted diseases. </w:t>
      </w:r>
      <w:r w:rsidR="00DB48B6">
        <w:t>Beyond established, regulated surveillance programs, many commercial poultry companies use baseline diagnostics, including routine serology titers and molecular testing, to monitor vaccination success and</w:t>
      </w:r>
      <w:r w:rsidR="002F2038" w:rsidRPr="002F2038">
        <w:t xml:space="preserve"> screen for endemic diseases.</w:t>
      </w:r>
    </w:p>
    <w:p w14:paraId="35A0EA8A" w14:textId="77777777" w:rsidR="008139A9" w:rsidRDefault="008139A9" w:rsidP="002F2038"/>
    <w:p w14:paraId="6D9846BF" w14:textId="49FACD40" w:rsidR="0095554B" w:rsidRDefault="002F2038" w:rsidP="002F2038">
      <w:r w:rsidRPr="002F2038">
        <w:t>Further analysis using molecular diagnostics can help with epidemiologic tracebacks and more precise intervention strategies</w:t>
      </w:r>
      <w:r w:rsidR="00DB48B6">
        <w:t>.</w:t>
      </w:r>
    </w:p>
    <w:p w14:paraId="12FAB8E1" w14:textId="77777777" w:rsidR="004169FB" w:rsidRDefault="004169FB" w:rsidP="002F2038"/>
    <w:p w14:paraId="134BD9CE" w14:textId="37B4179D" w:rsidR="00546CDD" w:rsidRDefault="00546CDD" w:rsidP="002F2038">
      <w:pPr>
        <w:rPr>
          <w:b/>
          <w:bCs/>
        </w:rPr>
      </w:pPr>
      <w:r w:rsidRPr="00E018F9">
        <w:rPr>
          <w:b/>
          <w:bCs/>
        </w:rPr>
        <w:t xml:space="preserve">The Role of Animal Disease Surveillance in Improving Biosecurity </w:t>
      </w:r>
      <w:r w:rsidR="00EC6004">
        <w:rPr>
          <w:b/>
          <w:bCs/>
        </w:rPr>
        <w:t>–</w:t>
      </w:r>
      <w:r w:rsidR="0038052F">
        <w:rPr>
          <w:b/>
          <w:bCs/>
        </w:rPr>
        <w:t xml:space="preserve"> </w:t>
      </w:r>
      <w:r w:rsidR="00EC6004">
        <w:rPr>
          <w:b/>
          <w:bCs/>
        </w:rPr>
        <w:t>Cattle</w:t>
      </w:r>
    </w:p>
    <w:p w14:paraId="19896798" w14:textId="18E0CD2D" w:rsidR="00EC6004" w:rsidRDefault="00EC6004" w:rsidP="002F2038">
      <w:pPr>
        <w:rPr>
          <w:b/>
          <w:bCs/>
        </w:rPr>
      </w:pPr>
      <w:r>
        <w:rPr>
          <w:b/>
          <w:bCs/>
        </w:rPr>
        <w:t>Presenter:</w:t>
      </w:r>
      <w:r w:rsidR="00C94C90">
        <w:rPr>
          <w:b/>
          <w:bCs/>
        </w:rPr>
        <w:t xml:space="preserve"> </w:t>
      </w:r>
      <w:r w:rsidR="00C94C90" w:rsidRPr="00C94C90">
        <w:rPr>
          <w:b/>
          <w:bCs/>
        </w:rPr>
        <w:t>Julia Herman, National Cattlemen’s Beef Assoc</w:t>
      </w:r>
      <w:r w:rsidR="00C94C90">
        <w:rPr>
          <w:b/>
          <w:bCs/>
        </w:rPr>
        <w:t>iation</w:t>
      </w:r>
      <w:r w:rsidR="007B257C">
        <w:rPr>
          <w:b/>
          <w:bCs/>
        </w:rPr>
        <w:t xml:space="preserve">’s </w:t>
      </w:r>
      <w:r w:rsidR="00DA485D" w:rsidRPr="00DA485D">
        <w:rPr>
          <w:b/>
          <w:bCs/>
        </w:rPr>
        <w:t>Beef Cattle Specialist Veterinarian</w:t>
      </w:r>
    </w:p>
    <w:p w14:paraId="3ECBC432" w14:textId="77777777" w:rsidR="008139A9" w:rsidRDefault="00B736A4" w:rsidP="00B736A4">
      <w:r>
        <w:t xml:space="preserve">Dr. </w:t>
      </w:r>
      <w:r w:rsidR="00F64D9A">
        <w:t>Herman</w:t>
      </w:r>
      <w:r w:rsidR="0027337D">
        <w:t xml:space="preserve"> highlighted that animal</w:t>
      </w:r>
      <w:r>
        <w:t xml:space="preserve"> disease surveillance in the cattle industry is complex because beef and dairy production is often segmented across multiple operations and owners throughout an animal’s life. This fragmentation can make it difficult to identify all cattle operations and assess disease risks across the production chain. </w:t>
      </w:r>
    </w:p>
    <w:p w14:paraId="709C2F3F" w14:textId="77777777" w:rsidR="008139A9" w:rsidRDefault="008139A9" w:rsidP="00B736A4"/>
    <w:p w14:paraId="0221B152" w14:textId="2A328EC7" w:rsidR="00B736A4" w:rsidRDefault="00B736A4" w:rsidP="00B736A4">
      <w:r>
        <w:t xml:space="preserve">Understanding disease risks at each </w:t>
      </w:r>
      <w:r w:rsidR="009C222F">
        <w:t>production stage is essential to</w:t>
      </w:r>
      <w:r>
        <w:t xml:space="preserve"> developing an effective surveillance system. </w:t>
      </w:r>
      <w:r w:rsidR="009C222F">
        <w:t>Many factors influence surveillance systems, including geography, operation type, species, farm or ranch size, transmission routes, resources (time, money), and more</w:t>
      </w:r>
      <w:r>
        <w:t xml:space="preserve">. </w:t>
      </w:r>
      <w:r w:rsidR="009C222F">
        <w:t>For many cattle operations, considering</w:t>
      </w:r>
      <w:r>
        <w:t xml:space="preserve"> the livestock/wildlife interface is also important.</w:t>
      </w:r>
    </w:p>
    <w:p w14:paraId="18E84106" w14:textId="77777777" w:rsidR="002E1478" w:rsidRDefault="002E1478" w:rsidP="00B736A4"/>
    <w:p w14:paraId="619C374E" w14:textId="6FF4AEF1" w:rsidR="00B736A4" w:rsidRDefault="00B736A4" w:rsidP="00B736A4">
      <w:r>
        <w:t xml:space="preserve">Disease surveillance is critical for protecting animal health, public health, food safety, and environmental health. Effective surveillance systems require industry knowledge, adequate staffing and funding, quality data to inform prevention and response efforts, and strong communication channels among producers, veterinarians, and regulatory agencies. </w:t>
      </w:r>
      <w:r w:rsidR="00DA2BB2">
        <w:t>Many livestock industries already provide economic incentives for surveillance and biosecurity practices</w:t>
      </w:r>
      <w:r>
        <w:t xml:space="preserve">, as mandatory eradication or control programs tend to have higher participation rates than voluntary practices. </w:t>
      </w:r>
    </w:p>
    <w:p w14:paraId="17F81C84" w14:textId="77777777" w:rsidR="008139A9" w:rsidRDefault="008139A9" w:rsidP="00B736A4"/>
    <w:p w14:paraId="4102A519" w14:textId="5185E03B" w:rsidR="00B736A4" w:rsidRDefault="00B736A4" w:rsidP="00B736A4">
      <w:r>
        <w:t xml:space="preserve">Biosecurity enhances surveillance at the farm, regional, and national levels by supporting disease detection, traceability, and investigation through structured management practices and controlled animal movements. However, adoption of some biosecurity measures can be challenging because many cattle producers have not experienced an emerging or foreign animal disease outbreak. Extension, industry, and educational networks are essential for communicating </w:t>
      </w:r>
      <w:r w:rsidR="009C222F">
        <w:t>information on disease preparedness and response</w:t>
      </w:r>
      <w:r>
        <w:t xml:space="preserve">. </w:t>
      </w:r>
    </w:p>
    <w:p w14:paraId="2AD6D670" w14:textId="77777777" w:rsidR="008139A9" w:rsidRDefault="008139A9" w:rsidP="00B736A4"/>
    <w:p w14:paraId="489CDE26" w14:textId="246AA8B4" w:rsidR="007B257C" w:rsidRDefault="00B736A4" w:rsidP="00B736A4">
      <w:r>
        <w:t xml:space="preserve">Ultimately, successful disease prevention, early detection, and rapid response depend on a coordinated, science-based, and risk-based approach. Promoting routine biosecurity practices for endemic diseases can improve disease awareness, encourage preventive behaviors, and strengthen future disease reporting and response efforts. </w:t>
      </w:r>
    </w:p>
    <w:p w14:paraId="1E5CF223" w14:textId="77777777" w:rsidR="00DA2BB2" w:rsidRDefault="00DA2BB2" w:rsidP="00B736A4"/>
    <w:p w14:paraId="1F5F8782" w14:textId="4A68F8FB" w:rsidR="00DA2BB2" w:rsidRDefault="00DA2BB2" w:rsidP="00B736A4">
      <w:pPr>
        <w:rPr>
          <w:b/>
          <w:bCs/>
        </w:rPr>
      </w:pPr>
      <w:r w:rsidRPr="00E018F9">
        <w:rPr>
          <w:b/>
          <w:bCs/>
        </w:rPr>
        <w:t xml:space="preserve">The Role of Animal Disease Surveillance in Improving Biosecurity </w:t>
      </w:r>
      <w:r>
        <w:rPr>
          <w:b/>
          <w:bCs/>
        </w:rPr>
        <w:t xml:space="preserve">– </w:t>
      </w:r>
      <w:r w:rsidR="004169FB">
        <w:rPr>
          <w:b/>
          <w:bCs/>
        </w:rPr>
        <w:t>Swine</w:t>
      </w:r>
    </w:p>
    <w:p w14:paraId="0ABC2BEB" w14:textId="7E2E4EF0" w:rsidR="004169FB" w:rsidRDefault="004169FB" w:rsidP="00B736A4">
      <w:pPr>
        <w:rPr>
          <w:b/>
          <w:bCs/>
        </w:rPr>
      </w:pPr>
      <w:r w:rsidRPr="008A52D1">
        <w:rPr>
          <w:b/>
          <w:bCs/>
        </w:rPr>
        <w:t>Presenter: Danie</w:t>
      </w:r>
      <w:r w:rsidR="008A52D1" w:rsidRPr="008A52D1">
        <w:rPr>
          <w:b/>
          <w:bCs/>
        </w:rPr>
        <w:t>l Linhares,</w:t>
      </w:r>
      <w:r w:rsidR="00480828">
        <w:rPr>
          <w:b/>
          <w:bCs/>
        </w:rPr>
        <w:t xml:space="preserve"> </w:t>
      </w:r>
      <w:r w:rsidR="003824A0" w:rsidRPr="003824A0">
        <w:rPr>
          <w:b/>
          <w:bCs/>
        </w:rPr>
        <w:t>Roy Schultz Professor of Swine Population Medicine and Director of Graduate Education at the Iowa State University College of Veterinary Medicine</w:t>
      </w:r>
    </w:p>
    <w:p w14:paraId="4B5CF67D" w14:textId="15C4AA84" w:rsidR="006A79CD" w:rsidRDefault="005F62A7" w:rsidP="006A79CD">
      <w:r>
        <w:t>Dr. Linhares highlighted that s</w:t>
      </w:r>
      <w:r w:rsidR="006A79CD">
        <w:t xml:space="preserve">urveillance improves biosecurity </w:t>
      </w:r>
      <w:r w:rsidR="00145565">
        <w:t>by revealing pathogen sources, quantifying the production losses they cause, and clarifying</w:t>
      </w:r>
      <w:r w:rsidR="006A79CD">
        <w:t xml:space="preserve"> when interventions should happen. Without surveillance</w:t>
      </w:r>
      <w:r w:rsidR="00145565">
        <w:t>,</w:t>
      </w:r>
      <w:r w:rsidR="006A79CD">
        <w:t xml:space="preserve"> there is no information on the source of infection and no way to measure whether investments in biosecurity are working; biosecurity without surveillance is a cost center, and surveillance without biosecurity is only monitoring. Linked, they form a feedback loop that returns actionable information to producers and veterinarians. This presentation illustrated that loop with three voluntary, producer-owned data streams coordinated by the </w:t>
      </w:r>
      <w:proofErr w:type="spellStart"/>
      <w:r w:rsidR="006A79CD">
        <w:t>fieldepi</w:t>
      </w:r>
      <w:proofErr w:type="spellEnd"/>
      <w:r w:rsidR="006A79CD">
        <w:t xml:space="preserve"> group at Iowa State University: the Swine Disease </w:t>
      </w:r>
      <w:r w:rsidR="006A79CD">
        <w:lastRenderedPageBreak/>
        <w:t xml:space="preserve">Reporting System (SDRS; ~7,000 diagnostic cases aggregated monthly from seven veterinary diagnostic laboratories), the PRRS Outbreak Management Program (POMP; 733 breeding-herd outbreaks followed weekly), and PROSPER (1,245 wean-to-finish closeouts linked to the health status of the sow farm of origin). All </w:t>
      </w:r>
      <w:proofErr w:type="gramStart"/>
      <w:r w:rsidR="006A79CD">
        <w:t>three share</w:t>
      </w:r>
      <w:proofErr w:type="gramEnd"/>
      <w:r w:rsidR="006A79CD">
        <w:t xml:space="preserve"> consolidated, anonymized reporting, defined denominators, and rapid return of analyzed data to the submitters.</w:t>
      </w:r>
    </w:p>
    <w:p w14:paraId="08FDDF6E" w14:textId="77777777" w:rsidR="00621656" w:rsidRDefault="00621656" w:rsidP="006A79CD"/>
    <w:p w14:paraId="48690468" w14:textId="74AF6D37" w:rsidR="006A79CD" w:rsidRDefault="006A79CD" w:rsidP="006A79CD">
      <w:r>
        <w:t xml:space="preserve">As illustrated with a case report at the </w:t>
      </w:r>
      <w:r w:rsidRPr="00A97EE0">
        <w:rPr>
          <w:b/>
          <w:bCs/>
        </w:rPr>
        <w:t>farm level</w:t>
      </w:r>
      <w:r>
        <w:t xml:space="preserve">, weekly PCR testing of suckling pigs stratified by parity, combined with sequencing, identified inadequately immunized replacement gilts as the root cause of repeated outbreaks with closely related viruses in a breeding herd, turning a vague suspicion into a specific biosecurity fix. Also, post-outbreak monitoring (weekly processing and tongue-tip fluids, monthly family oral fluids, pooled testing) benchmarked against POMP recovery timelines (abortions back to baseline at 6 weeks, production at 26, median time to stability at 42) lets producers verify that a response plan is working. Moreover, next-generation sequencing of 61 live-virus-inoculation materials from 14 systems revealed multiple PRRSV strains in 11.5% of samples, a recombinant, an MLV-like strain, and Salmonella or parvovirus in 16–20%, prompting systems to sequence and screen </w:t>
      </w:r>
      <w:proofErr w:type="spellStart"/>
      <w:r>
        <w:t>inocula</w:t>
      </w:r>
      <w:proofErr w:type="spellEnd"/>
      <w:r>
        <w:t xml:space="preserve"> before use.</w:t>
      </w:r>
    </w:p>
    <w:p w14:paraId="3A52B2AB" w14:textId="77777777" w:rsidR="005F3D87" w:rsidRDefault="005F3D87" w:rsidP="006A79CD"/>
    <w:p w14:paraId="7FDAF24D" w14:textId="47B9B49C" w:rsidR="006A79CD" w:rsidRDefault="006A79CD" w:rsidP="006A79CD">
      <w:r>
        <w:t xml:space="preserve">At the </w:t>
      </w:r>
      <w:r w:rsidRPr="00A97EE0">
        <w:rPr>
          <w:b/>
          <w:bCs/>
        </w:rPr>
        <w:t>regional level</w:t>
      </w:r>
      <w:r>
        <w:t xml:space="preserve">, surveillance reframed grow-finish from downstream victim to primary reservoir. SDRS wean-to-market cases have run 10–25 percentage points more PRRSV-positive than sow farms for three years (38% vs 17% in September 2026); growing pigs contribute about half of all wild-type ORF5 sequences and 14 of 20 novel viruses despite representing ~30% of submissions. On a field study, wild-type virus was found in 91% of growing-pig groups, with mortality tripling when infection occurred early. A case-control study of 2,592 </w:t>
      </w:r>
      <w:proofErr w:type="gramStart"/>
      <w:r>
        <w:t>wean</w:t>
      </w:r>
      <w:proofErr w:type="gramEnd"/>
      <w:r>
        <w:t>-to-market lots quantified the risk factors: manure pumping (OR 3.4; 6.1 in the first four weeks after placement), manure application within 1.6 km (OR 4.1), sites over 10,000 pigs (OR 6.6), and large neighboring herds (OR 11). PEDV surveillance told the same story, with subclinical positive manure pits, contaminated market trailers (27% to 51% positivity before vs after unloading), and rendering sites 5.4 times more contaminated than composting. The resulting picture is a loop: positive non-stable breeding herds seed grow-finish sites; grow-finish sites infect one another through people, manure, trucks, feed, marketing, and shared connections; amplification generates new strains that return to breeding herds. Surveillance shortens the first link by tracking herd recovery to stability; biosecurity and biocontainment cut the second, preventing the amplification and emergence that follow. Practical examples included routine grow-finish monitoring, vaccination to limit amplification, washed-and-dried trailers, no pumping in the first four weeks after placement, composting over rendering, and coordinated movement controls such as Manitoba’s PED program.</w:t>
      </w:r>
    </w:p>
    <w:p w14:paraId="0C5C3068" w14:textId="77777777" w:rsidR="005F3D87" w:rsidRDefault="005F3D87" w:rsidP="006A79CD"/>
    <w:p w14:paraId="0D8E8317" w14:textId="27EB63B0" w:rsidR="006A79CD" w:rsidRDefault="006A79CD" w:rsidP="006A79CD">
      <w:r>
        <w:t xml:space="preserve">At the </w:t>
      </w:r>
      <w:r w:rsidRPr="00A97EE0">
        <w:rPr>
          <w:b/>
          <w:bCs/>
        </w:rPr>
        <w:t>national level</w:t>
      </w:r>
      <w:r>
        <w:t>, aggregated diagnostic data reveal disease-ecology trends across time, geography, production phase, and site type, informing programs such as the AASV PEDV roadmap and U.S. SHIP. Six surveillance components proved most critical for assessing biosecurity: pathogen sequence tied to site type and location; pathogen activity monitoring at the state level; linkage to production outcomes; sampling frequency matched to the decision; standardized, repeated sampling; and aggregated, anonymized data returned quickly to submitters. Remaining gaps are under-sampling of grow-finish and transport, the absence of a link between movement data and diagnostic data, and the lack of any surveillance stream that records biosecurity practices over time. Closing them would enable ongoing, on-farm precision swine health and productivity management.</w:t>
      </w:r>
    </w:p>
    <w:p w14:paraId="33D44ED6" w14:textId="77777777" w:rsidR="00480828" w:rsidRPr="008A52D1" w:rsidRDefault="00480828" w:rsidP="00B736A4"/>
    <w:p w14:paraId="73C6CDB1" w14:textId="77777777" w:rsidR="00546CDD" w:rsidRPr="008A52D1" w:rsidRDefault="00546CDD" w:rsidP="002F2038"/>
    <w:p w14:paraId="558CD478" w14:textId="456394EE" w:rsidR="0095554B" w:rsidRDefault="0095554B" w:rsidP="0095554B">
      <w:pPr>
        <w:rPr>
          <w:b/>
          <w:bCs/>
        </w:rPr>
      </w:pPr>
      <w:r>
        <w:rPr>
          <w:b/>
          <w:bCs/>
        </w:rPr>
        <w:t xml:space="preserve">Committee Business: </w:t>
      </w:r>
    </w:p>
    <w:p w14:paraId="7A8296C1" w14:textId="53D965B2" w:rsidR="00B91755" w:rsidRDefault="00B91755" w:rsidP="0095554B">
      <w:pPr>
        <w:rPr>
          <w:rFonts w:cs="Arial"/>
          <w:b/>
        </w:rPr>
      </w:pPr>
    </w:p>
    <w:p w14:paraId="345930D5" w14:textId="2387B224" w:rsidR="001A7073" w:rsidRPr="00C20C8C" w:rsidRDefault="003908FF" w:rsidP="001A7073">
      <w:pPr>
        <w:rPr>
          <w:rFonts w:cs="Arial"/>
          <w:b/>
        </w:rPr>
      </w:pPr>
      <w:r w:rsidRPr="003908FF">
        <w:rPr>
          <w:rFonts w:cs="Arial"/>
          <w:b/>
        </w:rPr>
        <w:t>Report</w:t>
      </w:r>
      <w:r w:rsidR="00C20C8C">
        <w:rPr>
          <w:rFonts w:cs="Arial"/>
          <w:b/>
        </w:rPr>
        <w:t xml:space="preserve"> - </w:t>
      </w:r>
      <w:r w:rsidR="001A7073" w:rsidRPr="009C7EA1">
        <w:rPr>
          <w:b/>
          <w:bCs/>
        </w:rPr>
        <w:t>XML Standards Subcommittee: 2026 Report Abstract</w:t>
      </w:r>
    </w:p>
    <w:p w14:paraId="3A4593F7" w14:textId="77777777" w:rsidR="009C7EA1" w:rsidRPr="009C7EA1" w:rsidRDefault="009C7EA1" w:rsidP="001A7073">
      <w:pPr>
        <w:rPr>
          <w:b/>
          <w:bCs/>
        </w:rPr>
      </w:pPr>
    </w:p>
    <w:p w14:paraId="5CB32E53" w14:textId="77777777" w:rsidR="001A7073" w:rsidRDefault="001A7073" w:rsidP="001A7073">
      <w:r>
        <w:t xml:space="preserve">The XML Standards Subcommittee of the Animal Health Surveillance and Information Systems Committee maintains the </w:t>
      </w:r>
      <w:proofErr w:type="spellStart"/>
      <w:r>
        <w:t>eCVI</w:t>
      </w:r>
      <w:proofErr w:type="spellEnd"/>
      <w:r>
        <w:t xml:space="preserve"> and Permit data exchange standards. This year the subcommittee focused on governance, on resolving a technical problem that held up the previous </w:t>
      </w:r>
      <w:proofErr w:type="spellStart"/>
      <w:r>
        <w:t>eCVI</w:t>
      </w:r>
      <w:proofErr w:type="spellEnd"/>
      <w:r>
        <w:t xml:space="preserve"> release, and on putting the standards' online home on a sustainable footing.</w:t>
      </w:r>
    </w:p>
    <w:p w14:paraId="049DD7B7" w14:textId="77777777" w:rsidR="00C20C8C" w:rsidRDefault="00C20C8C" w:rsidP="001A7073"/>
    <w:p w14:paraId="610502E9" w14:textId="77777777" w:rsidR="001A7073" w:rsidRPr="00C20C8C" w:rsidRDefault="001A7073" w:rsidP="001A7073">
      <w:pPr>
        <w:rPr>
          <w:b/>
          <w:bCs/>
        </w:rPr>
      </w:pPr>
      <w:r w:rsidRPr="00C20C8C">
        <w:rPr>
          <w:b/>
          <w:bCs/>
        </w:rPr>
        <w:t>BACKLOGGED WORK:</w:t>
      </w:r>
    </w:p>
    <w:p w14:paraId="184D9FE8" w14:textId="77777777" w:rsidR="001A7073" w:rsidRDefault="001A7073" w:rsidP="001A7073">
      <w:r>
        <w:t xml:space="preserve">Version 3.2 of the </w:t>
      </w:r>
      <w:proofErr w:type="spellStart"/>
      <w:r>
        <w:t>eCVI</w:t>
      </w:r>
      <w:proofErr w:type="spellEnd"/>
      <w:r>
        <w:t xml:space="preserve"> standard was drafted with an additional equine photo view, a separate Rodeo movement purpose, and a generic file and namespace name that removes the version number and the need to rename the schema with each release. In testing, every </w:t>
      </w:r>
      <w:proofErr w:type="spellStart"/>
      <w:r>
        <w:t>eCVI</w:t>
      </w:r>
      <w:proofErr w:type="spellEnd"/>
      <w:r>
        <w:t xml:space="preserve"> failed validation because of a namespace mismatch in the draft. A fix has been submitted, and Version 3.2 was not published pending that correction.</w:t>
      </w:r>
    </w:p>
    <w:p w14:paraId="7EA5B38F" w14:textId="77777777" w:rsidR="00C20C8C" w:rsidRDefault="00C20C8C" w:rsidP="001A7073">
      <w:pPr>
        <w:rPr>
          <w:b/>
          <w:bCs/>
        </w:rPr>
      </w:pPr>
    </w:p>
    <w:p w14:paraId="74FC3309" w14:textId="36693F14" w:rsidR="001A7073" w:rsidRPr="00C20C8C" w:rsidRDefault="001A7073" w:rsidP="001A7073">
      <w:pPr>
        <w:rPr>
          <w:b/>
          <w:bCs/>
        </w:rPr>
      </w:pPr>
      <w:r w:rsidRPr="00C20C8C">
        <w:rPr>
          <w:b/>
          <w:bCs/>
        </w:rPr>
        <w:t xml:space="preserve">RECENT WORK FOCUSED ON THREE AREAS: </w:t>
      </w:r>
    </w:p>
    <w:p w14:paraId="6F14A48D" w14:textId="77777777" w:rsidR="00B81CB2" w:rsidRDefault="001A7073" w:rsidP="001A7073">
      <w:pPr>
        <w:pStyle w:val="ListParagraph"/>
        <w:numPr>
          <w:ilvl w:val="0"/>
          <w:numId w:val="3"/>
        </w:numPr>
      </w:pPr>
      <w:r w:rsidRPr="00C20C8C">
        <w:rPr>
          <w:b/>
          <w:bCs/>
        </w:rPr>
        <w:t>Governance</w:t>
      </w:r>
      <w:r>
        <w:t xml:space="preserve">: The subcommittee voted to retire its own bylaws and member list and to operate under USAHA's established rules. Membership in the parent committee is now sufficient to vote in the subcommittee, and members can confirm their enrollment through their USAHA member profile. </w:t>
      </w:r>
    </w:p>
    <w:p w14:paraId="009E0329" w14:textId="77777777" w:rsidR="00242463" w:rsidRDefault="001A7073" w:rsidP="001A7073">
      <w:pPr>
        <w:pStyle w:val="ListParagraph"/>
        <w:numPr>
          <w:ilvl w:val="0"/>
          <w:numId w:val="3"/>
        </w:numPr>
      </w:pPr>
      <w:r w:rsidRPr="00B81CB2">
        <w:rPr>
          <w:b/>
          <w:bCs/>
        </w:rPr>
        <w:t>XML Standard</w:t>
      </w:r>
      <w:r>
        <w:t xml:space="preserve">: The subcommittee also approved expanding the </w:t>
      </w:r>
      <w:proofErr w:type="spellStart"/>
      <w:r>
        <w:t>eCVI</w:t>
      </w:r>
      <w:proofErr w:type="spellEnd"/>
      <w:r>
        <w:t xml:space="preserve"> age field from three to five digits, so that ages expressed in days for older animals validate correctly. That change has been written and submitted for the next version.</w:t>
      </w:r>
    </w:p>
    <w:p w14:paraId="5F368C60" w14:textId="30D1EDD6" w:rsidR="001A7073" w:rsidRDefault="001A7073" w:rsidP="001A7073">
      <w:pPr>
        <w:pStyle w:val="ListParagraph"/>
        <w:numPr>
          <w:ilvl w:val="0"/>
          <w:numId w:val="3"/>
        </w:numPr>
      </w:pPr>
      <w:r w:rsidRPr="00242463">
        <w:rPr>
          <w:b/>
          <w:bCs/>
        </w:rPr>
        <w:lastRenderedPageBreak/>
        <w:t>Online repository for the XML standard</w:t>
      </w:r>
      <w:r>
        <w:t xml:space="preserve">: The </w:t>
      </w:r>
      <w:proofErr w:type="spellStart"/>
      <w:r>
        <w:t>eCVI</w:t>
      </w:r>
      <w:proofErr w:type="spellEnd"/>
      <w:r>
        <w:t xml:space="preserve"> repository on GitHub had been held in a personal account whose login was no longer available to anyone on the subcommittee. It was moved into the committee's organization account alongside the Permit standard. All existing links continue to work, and no history was lost. The organization is now managed by named administrators rather than a shared password. </w:t>
      </w:r>
    </w:p>
    <w:p w14:paraId="4AB417F7" w14:textId="77777777" w:rsidR="001A7073" w:rsidRDefault="001A7073" w:rsidP="001A7073"/>
    <w:p w14:paraId="7A083771" w14:textId="77777777" w:rsidR="001A7073" w:rsidRDefault="001A7073" w:rsidP="001A7073">
      <w:r w:rsidRPr="00242463">
        <w:rPr>
          <w:b/>
          <w:bCs/>
        </w:rPr>
        <w:t>NEXT STEPS</w:t>
      </w:r>
      <w:r>
        <w:t>:</w:t>
      </w:r>
    </w:p>
    <w:p w14:paraId="2843ECA7" w14:textId="76651765" w:rsidR="001A7073" w:rsidRDefault="001A7073" w:rsidP="00E86832">
      <w:pPr>
        <w:pStyle w:val="ListParagraph"/>
        <w:numPr>
          <w:ilvl w:val="0"/>
          <w:numId w:val="4"/>
        </w:numPr>
      </w:pPr>
      <w:r>
        <w:t xml:space="preserve">Next steps include a pre-release of the next version, effective January 1, containing the 1) namespace fix, 2) the generic naming, 3) the equine photo view, the 4) Rodeo movement purpose, and the 5) expanded age field. The subcommittee reaffirms that the deadline for vendors to update their platforms to an updated standard is 3 months from release. </w:t>
      </w:r>
    </w:p>
    <w:p w14:paraId="50DA8D39" w14:textId="585AAC4F" w:rsidR="001A7073" w:rsidRDefault="001A7073" w:rsidP="00E86832">
      <w:pPr>
        <w:pStyle w:val="ListParagraph"/>
        <w:numPr>
          <w:ilvl w:val="0"/>
          <w:numId w:val="4"/>
        </w:numPr>
      </w:pPr>
      <w:r>
        <w:t xml:space="preserve">Items for the 2027 subcommittee meeting are a lactating (milking) movement purpose, and two needs raised by New World screwworm response: documenting </w:t>
      </w:r>
      <w:proofErr w:type="gramStart"/>
      <w:r>
        <w:t>treatments, and</w:t>
      </w:r>
      <w:proofErr w:type="gramEnd"/>
      <w:r>
        <w:t xml:space="preserve"> using </w:t>
      </w:r>
      <w:proofErr w:type="gramStart"/>
      <w:r>
        <w:t>the standard's</w:t>
      </w:r>
      <w:proofErr w:type="gramEnd"/>
      <w:r>
        <w:t xml:space="preserve"> existing Movement and Sighting documents for inspections and movements out of infested zones.</w:t>
      </w:r>
    </w:p>
    <w:p w14:paraId="0D5CE360" w14:textId="77777777" w:rsidR="00306E83" w:rsidRDefault="00306E83" w:rsidP="001A7073"/>
    <w:p w14:paraId="33633737" w14:textId="6B689347" w:rsidR="001E313B" w:rsidRPr="00306E83" w:rsidRDefault="001A7073" w:rsidP="001A7073">
      <w:pPr>
        <w:rPr>
          <w:b/>
          <w:bCs/>
        </w:rPr>
      </w:pPr>
      <w:r w:rsidRPr="00306E83">
        <w:rPr>
          <w:b/>
          <w:bCs/>
        </w:rPr>
        <w:t>The subcommittee requests a parent committee vote that includes authority for editorial corrections before release.</w:t>
      </w:r>
    </w:p>
    <w:p w14:paraId="53F00E9B" w14:textId="77777777" w:rsidR="0095554B" w:rsidRPr="0095554B" w:rsidRDefault="0095554B" w:rsidP="00306E83">
      <w:pPr>
        <w:rPr>
          <w:i/>
          <w:iCs/>
        </w:rPr>
      </w:pPr>
    </w:p>
    <w:p w14:paraId="5D241EEB" w14:textId="77777777" w:rsidR="0095554B" w:rsidRDefault="0095554B" w:rsidP="0095554B"/>
    <w:p w14:paraId="0E4B0A84" w14:textId="164E3C84" w:rsidR="00154BFD" w:rsidRDefault="008F73F2" w:rsidP="0095554B">
      <w:r w:rsidRPr="00A22537">
        <w:t xml:space="preserve">One resolution for 2026 was discussed titled “Eligibility for NAHLN laboratories, AAVLD laboratories and Universities to apply for USDA National Animal Disease Preparedness and Response Program (NADPRP) funding opportunities.” </w:t>
      </w:r>
      <w:r w:rsidR="00154BFD" w:rsidRPr="00A22537">
        <w:t>The committee voted unanimously to accept the resolution</w:t>
      </w:r>
      <w:r w:rsidRPr="00A22537">
        <w:t>.</w:t>
      </w:r>
    </w:p>
    <w:p w14:paraId="5438ECC2" w14:textId="2548E910" w:rsidR="008F73F2" w:rsidRDefault="008F73F2" w:rsidP="0095554B"/>
    <w:sectPr w:rsidR="008F73F2" w:rsidSect="00621656">
      <w:pgSz w:w="12240" w:h="1584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85A05"/>
    <w:multiLevelType w:val="hybridMultilevel"/>
    <w:tmpl w:val="EDA67B34"/>
    <w:lvl w:ilvl="0" w:tplc="DEA04FA6">
      <w:start w:val="1"/>
      <w:numFmt w:val="bullet"/>
      <w:pStyle w:val="ProcBullets"/>
      <w:lvlText w:val=""/>
      <w:lvlJc w:val="left"/>
      <w:pPr>
        <w:ind w:left="420" w:hanging="360"/>
      </w:pPr>
      <w:rPr>
        <w:rFonts w:ascii="Symbol" w:hAnsi="Symbo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 w15:restartNumberingAfterBreak="0">
    <w:nsid w:val="0DFA5154"/>
    <w:multiLevelType w:val="hybridMultilevel"/>
    <w:tmpl w:val="711E06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8401366"/>
    <w:multiLevelType w:val="hybridMultilevel"/>
    <w:tmpl w:val="D3A061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80985066">
    <w:abstractNumId w:val="0"/>
  </w:num>
  <w:num w:numId="2" w16cid:durableId="1141190922">
    <w:abstractNumId w:val="0"/>
  </w:num>
  <w:num w:numId="3" w16cid:durableId="1930429452">
    <w:abstractNumId w:val="2"/>
  </w:num>
  <w:num w:numId="4" w16cid:durableId="15447053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A07"/>
    <w:rsid w:val="0001794B"/>
    <w:rsid w:val="0006364C"/>
    <w:rsid w:val="00066BF3"/>
    <w:rsid w:val="00072A07"/>
    <w:rsid w:val="001279F1"/>
    <w:rsid w:val="00132617"/>
    <w:rsid w:val="00145565"/>
    <w:rsid w:val="00154BFD"/>
    <w:rsid w:val="001A7073"/>
    <w:rsid w:val="001E313B"/>
    <w:rsid w:val="00242463"/>
    <w:rsid w:val="002647A2"/>
    <w:rsid w:val="0027337D"/>
    <w:rsid w:val="002D0D84"/>
    <w:rsid w:val="002E1478"/>
    <w:rsid w:val="002F2038"/>
    <w:rsid w:val="00306E83"/>
    <w:rsid w:val="0038052F"/>
    <w:rsid w:val="003824A0"/>
    <w:rsid w:val="003908FF"/>
    <w:rsid w:val="004169FB"/>
    <w:rsid w:val="00480828"/>
    <w:rsid w:val="00546CDD"/>
    <w:rsid w:val="005F3D87"/>
    <w:rsid w:val="005F62A7"/>
    <w:rsid w:val="00621656"/>
    <w:rsid w:val="00623049"/>
    <w:rsid w:val="00632E62"/>
    <w:rsid w:val="006A79CD"/>
    <w:rsid w:val="00722CE7"/>
    <w:rsid w:val="0076032E"/>
    <w:rsid w:val="007B257C"/>
    <w:rsid w:val="00804C69"/>
    <w:rsid w:val="008139A9"/>
    <w:rsid w:val="00814721"/>
    <w:rsid w:val="008356A6"/>
    <w:rsid w:val="008465A4"/>
    <w:rsid w:val="00856EC6"/>
    <w:rsid w:val="008A52D1"/>
    <w:rsid w:val="008D6E7A"/>
    <w:rsid w:val="008F73F2"/>
    <w:rsid w:val="00900DE6"/>
    <w:rsid w:val="009105C1"/>
    <w:rsid w:val="00917B4C"/>
    <w:rsid w:val="0095554B"/>
    <w:rsid w:val="009843B7"/>
    <w:rsid w:val="0099068B"/>
    <w:rsid w:val="009A10CD"/>
    <w:rsid w:val="009C222F"/>
    <w:rsid w:val="009C7EA1"/>
    <w:rsid w:val="00A22537"/>
    <w:rsid w:val="00A25A21"/>
    <w:rsid w:val="00A36CB5"/>
    <w:rsid w:val="00A66DDC"/>
    <w:rsid w:val="00A97EE0"/>
    <w:rsid w:val="00B736A4"/>
    <w:rsid w:val="00B81CB2"/>
    <w:rsid w:val="00B91755"/>
    <w:rsid w:val="00C20C8C"/>
    <w:rsid w:val="00C94C90"/>
    <w:rsid w:val="00C95722"/>
    <w:rsid w:val="00CB66B9"/>
    <w:rsid w:val="00D71F37"/>
    <w:rsid w:val="00DA2BB2"/>
    <w:rsid w:val="00DA485D"/>
    <w:rsid w:val="00DB48B6"/>
    <w:rsid w:val="00E018F9"/>
    <w:rsid w:val="00E74950"/>
    <w:rsid w:val="00E86832"/>
    <w:rsid w:val="00EC6004"/>
    <w:rsid w:val="00F64D9A"/>
    <w:rsid w:val="00FE1A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845F8"/>
  <w15:chartTrackingRefBased/>
  <w15:docId w15:val="{56AE96B0-7297-42EC-AD53-1F98CD1F3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kern w:val="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068B"/>
  </w:style>
  <w:style w:type="paragraph" w:styleId="Heading1">
    <w:name w:val="heading 1"/>
    <w:aliases w:val="Proc Heading"/>
    <w:basedOn w:val="Normal"/>
    <w:link w:val="Heading1Char"/>
    <w:qFormat/>
    <w:rsid w:val="0099068B"/>
    <w:pPr>
      <w:jc w:val="center"/>
      <w:outlineLvl w:val="0"/>
    </w:pPr>
    <w:rPr>
      <w:rFonts w:eastAsiaTheme="majorEastAsia" w:cstheme="majorBidi"/>
      <w:b/>
      <w:caps/>
    </w:rPr>
  </w:style>
  <w:style w:type="paragraph" w:styleId="Heading2">
    <w:name w:val="heading 2"/>
    <w:basedOn w:val="Normal"/>
    <w:link w:val="Heading2Char"/>
    <w:uiPriority w:val="9"/>
    <w:rsid w:val="0099068B"/>
    <w:pPr>
      <w:shd w:val="clear" w:color="auto" w:fill="FFFFFF"/>
      <w:spacing w:before="100" w:beforeAutospacing="1" w:after="100" w:afterAutospacing="1"/>
      <w:outlineLvl w:val="1"/>
    </w:pPr>
    <w:rPr>
      <w:rFonts w:eastAsia="Times New Roman"/>
      <w:b/>
      <w:bCs/>
      <w:color w:val="FF4500"/>
      <w:sz w:val="17"/>
      <w:szCs w:val="17"/>
    </w:rPr>
  </w:style>
  <w:style w:type="paragraph" w:styleId="Heading3">
    <w:name w:val="heading 3"/>
    <w:basedOn w:val="Normal"/>
    <w:next w:val="Normal"/>
    <w:link w:val="Heading3Char"/>
    <w:semiHidden/>
    <w:unhideWhenUsed/>
    <w:qFormat/>
    <w:rsid w:val="0099068B"/>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semiHidden/>
    <w:unhideWhenUsed/>
    <w:qFormat/>
    <w:rsid w:val="0099068B"/>
    <w:pPr>
      <w:keepNext/>
      <w:spacing w:before="240" w:after="60"/>
      <w:outlineLvl w:val="3"/>
    </w:pPr>
    <w:rPr>
      <w:rFonts w:eastAsia="Times New Roman"/>
      <w:b/>
      <w:bCs/>
      <w:sz w:val="28"/>
      <w:szCs w:val="28"/>
    </w:rPr>
  </w:style>
  <w:style w:type="paragraph" w:styleId="Heading5">
    <w:name w:val="heading 5"/>
    <w:basedOn w:val="Normal"/>
    <w:next w:val="Normal"/>
    <w:link w:val="Heading5Char"/>
    <w:semiHidden/>
    <w:unhideWhenUsed/>
    <w:qFormat/>
    <w:rsid w:val="0099068B"/>
    <w:pPr>
      <w:spacing w:before="240" w:after="60"/>
      <w:outlineLvl w:val="4"/>
    </w:pPr>
    <w:rPr>
      <w:rFonts w:eastAsia="Times New Roman"/>
      <w:b/>
      <w:bCs/>
      <w:i/>
      <w:iCs/>
      <w:sz w:val="26"/>
      <w:szCs w:val="26"/>
    </w:rPr>
  </w:style>
  <w:style w:type="paragraph" w:styleId="Heading6">
    <w:name w:val="heading 6"/>
    <w:basedOn w:val="Normal"/>
    <w:next w:val="Normal"/>
    <w:link w:val="Heading6Char"/>
    <w:semiHidden/>
    <w:unhideWhenUsed/>
    <w:qFormat/>
    <w:rsid w:val="0099068B"/>
    <w:pPr>
      <w:spacing w:before="240" w:after="60"/>
      <w:outlineLvl w:val="5"/>
    </w:pPr>
    <w:rPr>
      <w:rFonts w:eastAsia="Times New Roman"/>
      <w:b/>
      <w:bCs/>
      <w:sz w:val="22"/>
      <w:szCs w:val="22"/>
    </w:rPr>
  </w:style>
  <w:style w:type="paragraph" w:styleId="Heading7">
    <w:name w:val="heading 7"/>
    <w:basedOn w:val="Normal"/>
    <w:next w:val="Normal"/>
    <w:link w:val="Heading7Char"/>
    <w:semiHidden/>
    <w:unhideWhenUsed/>
    <w:qFormat/>
    <w:rsid w:val="0099068B"/>
    <w:pPr>
      <w:spacing w:before="240" w:after="60"/>
      <w:outlineLvl w:val="6"/>
    </w:pPr>
    <w:rPr>
      <w:rFonts w:eastAsia="Times New Roman"/>
      <w:sz w:val="24"/>
    </w:rPr>
  </w:style>
  <w:style w:type="paragraph" w:styleId="Heading8">
    <w:name w:val="heading 8"/>
    <w:basedOn w:val="Normal"/>
    <w:next w:val="Normal"/>
    <w:link w:val="Heading8Char"/>
    <w:semiHidden/>
    <w:unhideWhenUsed/>
    <w:qFormat/>
    <w:rsid w:val="0099068B"/>
    <w:pPr>
      <w:spacing w:before="240" w:after="60"/>
      <w:outlineLvl w:val="7"/>
    </w:pPr>
    <w:rPr>
      <w:rFonts w:eastAsia="Times New Roman"/>
      <w:i/>
      <w:iCs/>
      <w:sz w:val="24"/>
    </w:rPr>
  </w:style>
  <w:style w:type="paragraph" w:styleId="Heading9">
    <w:name w:val="heading 9"/>
    <w:basedOn w:val="Normal"/>
    <w:next w:val="Normal"/>
    <w:link w:val="Heading9Char"/>
    <w:semiHidden/>
    <w:unhideWhenUsed/>
    <w:qFormat/>
    <w:rsid w:val="0099068B"/>
    <w:pPr>
      <w:spacing w:before="240" w:after="60"/>
      <w:outlineLvl w:val="8"/>
    </w:pPr>
    <w:rPr>
      <w:rFonts w:ascii="Cambria" w:eastAsia="Times New Roman"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ocBody">
    <w:name w:val="Proc Body"/>
    <w:basedOn w:val="Normal"/>
    <w:link w:val="ProcBodyChar"/>
    <w:qFormat/>
    <w:rsid w:val="0099068B"/>
    <w:pPr>
      <w:ind w:firstLine="360"/>
    </w:pPr>
    <w:rPr>
      <w:rFonts w:eastAsia="Times New Roman"/>
    </w:rPr>
  </w:style>
  <w:style w:type="character" w:customStyle="1" w:styleId="ProcBodyChar">
    <w:name w:val="Proc Body Char"/>
    <w:link w:val="ProcBody"/>
    <w:rsid w:val="0099068B"/>
    <w:rPr>
      <w:rFonts w:ascii="Arial" w:eastAsia="Times New Roman" w:hAnsi="Arial" w:cs="Times New Roman"/>
      <w:sz w:val="20"/>
      <w:szCs w:val="20"/>
    </w:rPr>
  </w:style>
  <w:style w:type="paragraph" w:customStyle="1" w:styleId="ProcBodyHeading">
    <w:name w:val="Proc Body Heading"/>
    <w:basedOn w:val="ProcBody"/>
    <w:link w:val="ProcBodyHeadingChar"/>
    <w:qFormat/>
    <w:rsid w:val="0099068B"/>
    <w:pPr>
      <w:ind w:firstLine="0"/>
    </w:pPr>
    <w:rPr>
      <w:b/>
    </w:rPr>
  </w:style>
  <w:style w:type="character" w:customStyle="1" w:styleId="ProcBodyHeadingChar">
    <w:name w:val="Proc Body Heading Char"/>
    <w:link w:val="ProcBodyHeading"/>
    <w:rsid w:val="0099068B"/>
    <w:rPr>
      <w:rFonts w:ascii="Arial" w:eastAsia="Times New Roman" w:hAnsi="Arial" w:cs="Times New Roman"/>
      <w:b/>
      <w:sz w:val="20"/>
      <w:szCs w:val="20"/>
    </w:rPr>
  </w:style>
  <w:style w:type="paragraph" w:customStyle="1" w:styleId="ProcBullets">
    <w:name w:val="Proc Bullets"/>
    <w:basedOn w:val="Normal"/>
    <w:qFormat/>
    <w:rsid w:val="0099068B"/>
    <w:pPr>
      <w:numPr>
        <w:numId w:val="2"/>
      </w:numPr>
      <w:jc w:val="both"/>
    </w:pPr>
    <w:rPr>
      <w:rFonts w:eastAsia="Times New Roman" w:cs="Arial"/>
      <w:bCs/>
    </w:rPr>
  </w:style>
  <w:style w:type="paragraph" w:customStyle="1" w:styleId="ProcSubHeading">
    <w:name w:val="Proc Sub Heading"/>
    <w:basedOn w:val="Normal"/>
    <w:link w:val="ProcSubHeadingChar"/>
    <w:qFormat/>
    <w:rsid w:val="0099068B"/>
    <w:pPr>
      <w:autoSpaceDE w:val="0"/>
      <w:autoSpaceDN w:val="0"/>
      <w:adjustRightInd w:val="0"/>
      <w:jc w:val="center"/>
    </w:pPr>
    <w:rPr>
      <w:rFonts w:eastAsia="Times New Roman"/>
      <w:szCs w:val="32"/>
    </w:rPr>
  </w:style>
  <w:style w:type="character" w:customStyle="1" w:styleId="ProcSubHeadingChar">
    <w:name w:val="Proc Sub Heading Char"/>
    <w:link w:val="ProcSubHeading"/>
    <w:rsid w:val="0099068B"/>
    <w:rPr>
      <w:rFonts w:ascii="Arial" w:eastAsia="Times New Roman" w:hAnsi="Arial" w:cs="Times New Roman"/>
      <w:sz w:val="20"/>
      <w:szCs w:val="32"/>
    </w:rPr>
  </w:style>
  <w:style w:type="paragraph" w:customStyle="1" w:styleId="ProcMbrlist">
    <w:name w:val="Proc Mbr list"/>
    <w:basedOn w:val="ProcSubHeading"/>
    <w:link w:val="ProcMbrlistChar"/>
    <w:qFormat/>
    <w:rsid w:val="0099068B"/>
    <w:pPr>
      <w:jc w:val="both"/>
    </w:pPr>
  </w:style>
  <w:style w:type="character" w:customStyle="1" w:styleId="ProcMbrlistChar">
    <w:name w:val="Proc Mbr list Char"/>
    <w:link w:val="ProcMbrlist"/>
    <w:rsid w:val="0099068B"/>
    <w:rPr>
      <w:rFonts w:ascii="Arial" w:eastAsia="Times New Roman" w:hAnsi="Arial" w:cs="Times New Roman"/>
      <w:sz w:val="20"/>
      <w:szCs w:val="32"/>
    </w:rPr>
  </w:style>
  <w:style w:type="paragraph" w:customStyle="1" w:styleId="ProcMbrLst">
    <w:name w:val="Proc Mbr Lst"/>
    <w:basedOn w:val="Normal"/>
    <w:qFormat/>
    <w:rsid w:val="0099068B"/>
    <w:pPr>
      <w:jc w:val="both"/>
    </w:pPr>
    <w:rPr>
      <w:rFonts w:eastAsia="Times New Roman"/>
      <w:noProof/>
    </w:rPr>
  </w:style>
  <w:style w:type="paragraph" w:customStyle="1" w:styleId="ProcReferences">
    <w:name w:val="Proc References"/>
    <w:basedOn w:val="ProcBody"/>
    <w:link w:val="ProcReferencesChar"/>
    <w:qFormat/>
    <w:rsid w:val="0099068B"/>
    <w:pPr>
      <w:ind w:left="360" w:hanging="360"/>
    </w:pPr>
  </w:style>
  <w:style w:type="character" w:customStyle="1" w:styleId="ProcReferencesChar">
    <w:name w:val="Proc References Char"/>
    <w:link w:val="ProcReferences"/>
    <w:rsid w:val="0099068B"/>
    <w:rPr>
      <w:rFonts w:ascii="Arial" w:eastAsia="Times New Roman" w:hAnsi="Arial" w:cs="Times New Roman"/>
      <w:sz w:val="20"/>
      <w:szCs w:val="20"/>
    </w:rPr>
  </w:style>
  <w:style w:type="paragraph" w:customStyle="1" w:styleId="ProcSubHead">
    <w:name w:val="Proc Sub Head"/>
    <w:basedOn w:val="Normal"/>
    <w:qFormat/>
    <w:rsid w:val="0099068B"/>
    <w:pPr>
      <w:jc w:val="center"/>
    </w:pPr>
    <w:rPr>
      <w:rFonts w:eastAsia="Times New Roman"/>
    </w:rPr>
  </w:style>
  <w:style w:type="paragraph" w:customStyle="1" w:styleId="ProcHdr">
    <w:name w:val="ProcHdr"/>
    <w:basedOn w:val="Heading1"/>
    <w:link w:val="ProcHdrChar"/>
    <w:qFormat/>
    <w:rsid w:val="0099068B"/>
    <w:pPr>
      <w:keepNext/>
      <w:spacing w:before="240" w:after="60" w:line="276" w:lineRule="auto"/>
      <w:jc w:val="left"/>
    </w:pPr>
    <w:rPr>
      <w:bCs/>
      <w:caps w:val="0"/>
      <w:kern w:val="32"/>
      <w:sz w:val="32"/>
      <w:szCs w:val="32"/>
    </w:rPr>
  </w:style>
  <w:style w:type="character" w:customStyle="1" w:styleId="ProcHdrChar">
    <w:name w:val="ProcHdr Char"/>
    <w:basedOn w:val="DefaultParagraphFont"/>
    <w:link w:val="ProcHdr"/>
    <w:rsid w:val="0099068B"/>
    <w:rPr>
      <w:rFonts w:ascii="Arial" w:eastAsiaTheme="majorEastAsia" w:hAnsi="Arial" w:cstheme="majorBidi"/>
      <w:b/>
      <w:bCs/>
      <w:kern w:val="32"/>
      <w:sz w:val="32"/>
      <w:szCs w:val="32"/>
    </w:rPr>
  </w:style>
  <w:style w:type="character" w:customStyle="1" w:styleId="Heading1Char">
    <w:name w:val="Heading 1 Char"/>
    <w:aliases w:val="Proc Heading Char"/>
    <w:link w:val="Heading1"/>
    <w:rsid w:val="0099068B"/>
    <w:rPr>
      <w:rFonts w:ascii="Arial" w:eastAsiaTheme="majorEastAsia" w:hAnsi="Arial" w:cstheme="majorBidi"/>
      <w:b/>
      <w:caps/>
      <w:sz w:val="20"/>
      <w:szCs w:val="20"/>
    </w:rPr>
  </w:style>
  <w:style w:type="paragraph" w:customStyle="1" w:styleId="ResHdr">
    <w:name w:val="ResHdr"/>
    <w:basedOn w:val="Normal"/>
    <w:link w:val="ResHdrChar"/>
    <w:autoRedefine/>
    <w:qFormat/>
    <w:rsid w:val="0099068B"/>
    <w:pPr>
      <w:widowControl w:val="0"/>
    </w:pPr>
    <w:rPr>
      <w:b/>
      <w:caps/>
    </w:rPr>
  </w:style>
  <w:style w:type="character" w:customStyle="1" w:styleId="ResHdrChar">
    <w:name w:val="ResHdr Char"/>
    <w:basedOn w:val="DefaultParagraphFont"/>
    <w:link w:val="ResHdr"/>
    <w:rsid w:val="0099068B"/>
    <w:rPr>
      <w:rFonts w:ascii="Arial" w:hAnsi="Arial"/>
      <w:b/>
      <w:caps/>
      <w:sz w:val="20"/>
      <w:szCs w:val="20"/>
    </w:rPr>
  </w:style>
  <w:style w:type="paragraph" w:customStyle="1" w:styleId="Style1">
    <w:name w:val="Style1"/>
    <w:basedOn w:val="ListParagraph"/>
    <w:qFormat/>
    <w:rsid w:val="0099068B"/>
    <w:pPr>
      <w:ind w:hanging="360"/>
      <w:jc w:val="both"/>
    </w:pPr>
    <w:rPr>
      <w:rFonts w:eastAsia="Times New Roman" w:cs="Arial"/>
    </w:rPr>
  </w:style>
  <w:style w:type="paragraph" w:styleId="ListParagraph">
    <w:name w:val="List Paragraph"/>
    <w:basedOn w:val="Normal"/>
    <w:uiPriority w:val="34"/>
    <w:qFormat/>
    <w:rsid w:val="0099068B"/>
    <w:pPr>
      <w:ind w:left="720"/>
    </w:pPr>
  </w:style>
  <w:style w:type="paragraph" w:customStyle="1" w:styleId="Default">
    <w:name w:val="Default"/>
    <w:rsid w:val="0099068B"/>
    <w:pPr>
      <w:autoSpaceDE w:val="0"/>
      <w:autoSpaceDN w:val="0"/>
      <w:adjustRightInd w:val="0"/>
    </w:pPr>
    <w:rPr>
      <w:rFonts w:eastAsia="Calibri" w:cs="Arial"/>
      <w:color w:val="000000"/>
      <w:sz w:val="24"/>
      <w:szCs w:val="24"/>
    </w:rPr>
  </w:style>
  <w:style w:type="paragraph" w:customStyle="1" w:styleId="Normal37">
    <w:name w:val="Normal+37"/>
    <w:basedOn w:val="Default"/>
    <w:next w:val="Default"/>
    <w:uiPriority w:val="99"/>
    <w:rsid w:val="0099068B"/>
    <w:pPr>
      <w:widowControl w:val="0"/>
    </w:pPr>
    <w:rPr>
      <w:rFonts w:eastAsiaTheme="minorEastAsia"/>
      <w:color w:val="auto"/>
    </w:rPr>
  </w:style>
  <w:style w:type="paragraph" w:customStyle="1" w:styleId="yiv6955135338msonormal">
    <w:name w:val="yiv6955135338msonormal"/>
    <w:basedOn w:val="Normal"/>
    <w:rsid w:val="0099068B"/>
    <w:pPr>
      <w:spacing w:before="100" w:beforeAutospacing="1" w:after="100" w:afterAutospacing="1"/>
    </w:pPr>
    <w:rPr>
      <w:rFonts w:ascii="Times New Roman" w:eastAsia="Times New Roman" w:hAnsi="Times New Roman"/>
      <w:sz w:val="24"/>
    </w:rPr>
  </w:style>
  <w:style w:type="paragraph" w:customStyle="1" w:styleId="yiv3910526817msonormal">
    <w:name w:val="yiv3910526817msonormal"/>
    <w:basedOn w:val="Normal"/>
    <w:rsid w:val="0099068B"/>
    <w:pPr>
      <w:spacing w:before="100" w:beforeAutospacing="1" w:after="100" w:afterAutospacing="1"/>
    </w:pPr>
    <w:rPr>
      <w:rFonts w:ascii="Times New Roman" w:eastAsia="Times New Roman" w:hAnsi="Times New Roman"/>
      <w:sz w:val="24"/>
    </w:rPr>
  </w:style>
  <w:style w:type="character" w:customStyle="1" w:styleId="Heading2Char">
    <w:name w:val="Heading 2 Char"/>
    <w:link w:val="Heading2"/>
    <w:uiPriority w:val="9"/>
    <w:rsid w:val="0099068B"/>
    <w:rPr>
      <w:rFonts w:ascii="Arial" w:eastAsia="Times New Roman" w:hAnsi="Arial" w:cs="Times New Roman"/>
      <w:b/>
      <w:bCs/>
      <w:color w:val="FF4500"/>
      <w:sz w:val="17"/>
      <w:szCs w:val="17"/>
      <w:shd w:val="clear" w:color="auto" w:fill="FFFFFF"/>
    </w:rPr>
  </w:style>
  <w:style w:type="character" w:customStyle="1" w:styleId="Heading3Char">
    <w:name w:val="Heading 3 Char"/>
    <w:link w:val="Heading3"/>
    <w:semiHidden/>
    <w:rsid w:val="0099068B"/>
    <w:rPr>
      <w:rFonts w:ascii="Cambria" w:eastAsia="Times New Roman" w:hAnsi="Cambria" w:cs="Times New Roman"/>
      <w:b/>
      <w:bCs/>
      <w:sz w:val="26"/>
      <w:szCs w:val="26"/>
    </w:rPr>
  </w:style>
  <w:style w:type="character" w:customStyle="1" w:styleId="Heading4Char">
    <w:name w:val="Heading 4 Char"/>
    <w:link w:val="Heading4"/>
    <w:semiHidden/>
    <w:rsid w:val="0099068B"/>
    <w:rPr>
      <w:rFonts w:ascii="Arial" w:eastAsia="Times New Roman" w:hAnsi="Arial" w:cs="Times New Roman"/>
      <w:b/>
      <w:bCs/>
      <w:sz w:val="28"/>
      <w:szCs w:val="28"/>
    </w:rPr>
  </w:style>
  <w:style w:type="character" w:customStyle="1" w:styleId="Heading5Char">
    <w:name w:val="Heading 5 Char"/>
    <w:link w:val="Heading5"/>
    <w:semiHidden/>
    <w:rsid w:val="0099068B"/>
    <w:rPr>
      <w:rFonts w:ascii="Arial" w:eastAsia="Times New Roman" w:hAnsi="Arial" w:cs="Times New Roman"/>
      <w:b/>
      <w:bCs/>
      <w:i/>
      <w:iCs/>
      <w:sz w:val="26"/>
      <w:szCs w:val="26"/>
    </w:rPr>
  </w:style>
  <w:style w:type="character" w:customStyle="1" w:styleId="Heading6Char">
    <w:name w:val="Heading 6 Char"/>
    <w:link w:val="Heading6"/>
    <w:semiHidden/>
    <w:rsid w:val="0099068B"/>
    <w:rPr>
      <w:rFonts w:ascii="Arial" w:eastAsia="Times New Roman" w:hAnsi="Arial" w:cs="Times New Roman"/>
      <w:b/>
      <w:bCs/>
    </w:rPr>
  </w:style>
  <w:style w:type="character" w:customStyle="1" w:styleId="Heading7Char">
    <w:name w:val="Heading 7 Char"/>
    <w:link w:val="Heading7"/>
    <w:semiHidden/>
    <w:rsid w:val="0099068B"/>
    <w:rPr>
      <w:rFonts w:ascii="Arial" w:eastAsia="Times New Roman" w:hAnsi="Arial" w:cs="Times New Roman"/>
      <w:sz w:val="24"/>
      <w:szCs w:val="20"/>
    </w:rPr>
  </w:style>
  <w:style w:type="character" w:customStyle="1" w:styleId="Heading8Char">
    <w:name w:val="Heading 8 Char"/>
    <w:link w:val="Heading8"/>
    <w:semiHidden/>
    <w:rsid w:val="0099068B"/>
    <w:rPr>
      <w:rFonts w:ascii="Arial" w:eastAsia="Times New Roman" w:hAnsi="Arial" w:cs="Times New Roman"/>
      <w:i/>
      <w:iCs/>
      <w:sz w:val="24"/>
      <w:szCs w:val="20"/>
    </w:rPr>
  </w:style>
  <w:style w:type="character" w:customStyle="1" w:styleId="Heading9Char">
    <w:name w:val="Heading 9 Char"/>
    <w:link w:val="Heading9"/>
    <w:semiHidden/>
    <w:rsid w:val="0099068B"/>
    <w:rPr>
      <w:rFonts w:ascii="Cambria" w:eastAsia="Times New Roman" w:hAnsi="Cambria" w:cs="Times New Roman"/>
    </w:rPr>
  </w:style>
  <w:style w:type="paragraph" w:styleId="Header">
    <w:name w:val="header"/>
    <w:basedOn w:val="Normal"/>
    <w:link w:val="HeaderChar"/>
    <w:uiPriority w:val="99"/>
    <w:rsid w:val="0099068B"/>
    <w:pPr>
      <w:tabs>
        <w:tab w:val="center" w:pos="4680"/>
        <w:tab w:val="right" w:pos="9360"/>
      </w:tabs>
    </w:pPr>
    <w:rPr>
      <w:rFonts w:eastAsia="Times New Roman"/>
    </w:rPr>
  </w:style>
  <w:style w:type="character" w:customStyle="1" w:styleId="HeaderChar">
    <w:name w:val="Header Char"/>
    <w:link w:val="Header"/>
    <w:uiPriority w:val="99"/>
    <w:rsid w:val="0099068B"/>
    <w:rPr>
      <w:rFonts w:ascii="Arial" w:eastAsia="Times New Roman" w:hAnsi="Arial" w:cs="Times New Roman"/>
      <w:sz w:val="20"/>
      <w:szCs w:val="20"/>
    </w:rPr>
  </w:style>
  <w:style w:type="paragraph" w:styleId="Footer">
    <w:name w:val="footer"/>
    <w:basedOn w:val="Normal"/>
    <w:link w:val="FooterChar"/>
    <w:uiPriority w:val="99"/>
    <w:unhideWhenUsed/>
    <w:rsid w:val="0099068B"/>
    <w:pPr>
      <w:tabs>
        <w:tab w:val="center" w:pos="4680"/>
        <w:tab w:val="right" w:pos="9360"/>
      </w:tabs>
    </w:pPr>
    <w:rPr>
      <w:rFonts w:eastAsia="Times New Roman"/>
    </w:rPr>
  </w:style>
  <w:style w:type="character" w:customStyle="1" w:styleId="FooterChar">
    <w:name w:val="Footer Char"/>
    <w:link w:val="Footer"/>
    <w:uiPriority w:val="99"/>
    <w:rsid w:val="0099068B"/>
    <w:rPr>
      <w:rFonts w:ascii="Arial" w:eastAsia="Times New Roman" w:hAnsi="Arial" w:cs="Times New Roman"/>
      <w:sz w:val="20"/>
      <w:szCs w:val="20"/>
    </w:rPr>
  </w:style>
  <w:style w:type="paragraph" w:styleId="EnvelopeAddress">
    <w:name w:val="envelope address"/>
    <w:basedOn w:val="Normal"/>
    <w:uiPriority w:val="99"/>
    <w:semiHidden/>
    <w:unhideWhenUsed/>
    <w:rsid w:val="0099068B"/>
    <w:pPr>
      <w:framePr w:w="7920" w:h="1980" w:hRule="exact" w:hSpace="180" w:wrap="auto" w:hAnchor="page" w:xAlign="center" w:yAlign="bottom"/>
      <w:ind w:left="2880"/>
    </w:pPr>
    <w:rPr>
      <w:rFonts w:eastAsiaTheme="majorEastAsia" w:cstheme="majorBidi"/>
      <w:sz w:val="24"/>
      <w:szCs w:val="24"/>
    </w:rPr>
  </w:style>
  <w:style w:type="paragraph" w:styleId="BodyText">
    <w:name w:val="Body Text"/>
    <w:basedOn w:val="Normal"/>
    <w:link w:val="BodyTextChar"/>
    <w:rsid w:val="0099068B"/>
    <w:pPr>
      <w:tabs>
        <w:tab w:val="center" w:pos="4680"/>
      </w:tabs>
      <w:suppressAutoHyphens/>
    </w:pPr>
    <w:rPr>
      <w:rFonts w:eastAsia="Times New Roman"/>
      <w:b/>
      <w:spacing w:val="-3"/>
      <w:sz w:val="30"/>
    </w:rPr>
  </w:style>
  <w:style w:type="character" w:customStyle="1" w:styleId="BodyTextChar">
    <w:name w:val="Body Text Char"/>
    <w:link w:val="BodyText"/>
    <w:rsid w:val="0099068B"/>
    <w:rPr>
      <w:rFonts w:ascii="Arial" w:eastAsia="Times New Roman" w:hAnsi="Arial" w:cs="Times New Roman"/>
      <w:b/>
      <w:spacing w:val="-3"/>
      <w:sz w:val="30"/>
      <w:szCs w:val="20"/>
    </w:rPr>
  </w:style>
  <w:style w:type="paragraph" w:styleId="BodyTextIndent2">
    <w:name w:val="Body Text Indent 2"/>
    <w:basedOn w:val="Normal"/>
    <w:link w:val="BodyTextIndent2Char"/>
    <w:semiHidden/>
    <w:unhideWhenUsed/>
    <w:rsid w:val="0099068B"/>
    <w:pPr>
      <w:spacing w:after="120" w:line="480" w:lineRule="auto"/>
      <w:ind w:left="360"/>
    </w:pPr>
    <w:rPr>
      <w:rFonts w:eastAsia="Times New Roman"/>
    </w:rPr>
  </w:style>
  <w:style w:type="character" w:customStyle="1" w:styleId="BodyTextIndent2Char">
    <w:name w:val="Body Text Indent 2 Char"/>
    <w:link w:val="BodyTextIndent2"/>
    <w:semiHidden/>
    <w:rsid w:val="0099068B"/>
    <w:rPr>
      <w:rFonts w:ascii="Arial" w:eastAsia="Times New Roman" w:hAnsi="Arial" w:cs="Times New Roman"/>
      <w:sz w:val="20"/>
      <w:szCs w:val="20"/>
    </w:rPr>
  </w:style>
  <w:style w:type="character" w:styleId="Hyperlink">
    <w:name w:val="Hyperlink"/>
    <w:uiPriority w:val="99"/>
    <w:unhideWhenUsed/>
    <w:rsid w:val="0099068B"/>
    <w:rPr>
      <w:color w:val="0000FF"/>
      <w:u w:val="single"/>
    </w:rPr>
  </w:style>
  <w:style w:type="character" w:styleId="Strong">
    <w:name w:val="Strong"/>
    <w:uiPriority w:val="22"/>
    <w:qFormat/>
    <w:rsid w:val="0099068B"/>
    <w:rPr>
      <w:b/>
      <w:bCs/>
    </w:rPr>
  </w:style>
  <w:style w:type="character" w:styleId="Emphasis">
    <w:name w:val="Emphasis"/>
    <w:uiPriority w:val="20"/>
    <w:qFormat/>
    <w:rsid w:val="0099068B"/>
    <w:rPr>
      <w:i/>
      <w:iCs/>
    </w:rPr>
  </w:style>
  <w:style w:type="paragraph" w:styleId="BalloonText">
    <w:name w:val="Balloon Text"/>
    <w:basedOn w:val="Normal"/>
    <w:link w:val="BalloonTextChar"/>
    <w:uiPriority w:val="99"/>
    <w:semiHidden/>
    <w:unhideWhenUsed/>
    <w:rsid w:val="0099068B"/>
    <w:rPr>
      <w:rFonts w:ascii="Tahoma" w:eastAsia="Times New Roman" w:hAnsi="Tahoma"/>
      <w:sz w:val="16"/>
      <w:szCs w:val="16"/>
    </w:rPr>
  </w:style>
  <w:style w:type="character" w:customStyle="1" w:styleId="BalloonTextChar">
    <w:name w:val="Balloon Text Char"/>
    <w:link w:val="BalloonText"/>
    <w:uiPriority w:val="99"/>
    <w:semiHidden/>
    <w:rsid w:val="0099068B"/>
    <w:rPr>
      <w:rFonts w:ascii="Tahoma" w:eastAsia="Times New Roman" w:hAnsi="Tahoma" w:cs="Times New Roman"/>
      <w:sz w:val="16"/>
      <w:szCs w:val="16"/>
    </w:rPr>
  </w:style>
  <w:style w:type="paragraph" w:styleId="NoSpacing">
    <w:name w:val="No Spacing"/>
    <w:uiPriority w:val="1"/>
    <w:qFormat/>
    <w:rsid w:val="0099068B"/>
    <w:pPr>
      <w:ind w:firstLine="360"/>
    </w:pPr>
    <w:rPr>
      <w:rFonts w:ascii="Book Antiqua" w:eastAsia="Calibri" w:hAnsi="Book Antiq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1764</Words>
  <Characters>10060</Characters>
  <Application>Microsoft Office Word</Application>
  <DocSecurity>0</DocSecurity>
  <Lines>83</Lines>
  <Paragraphs>23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COMMITTEE ON XXX</vt:lpstr>
    </vt:vector>
  </TitlesOfParts>
  <Company/>
  <LinksUpToDate>false</LinksUpToDate>
  <CharactersWithSpaces>11801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KLJ</dc:creator>
  <cp:keywords/>
  <dc:description/>
  <cp:lastModifiedBy>Brian McCluskey</cp:lastModifiedBy>
  <cp:revision>6</cp:revision>
  <dcterms:created xsi:type="dcterms:W3CDTF">2026-10-18T18:49:00Z</dcterms:created>
  <dcterms:modified xsi:type="dcterms:W3CDTF">2026-10-19T17:44:00Z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66e5cee7-8c0d-4b5e-8b3a-a78993d01b47</vt:lpwstr>
  </property>
</Properties>
</file>