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28CA1" w14:textId="77777777" w:rsidR="00117261" w:rsidRPr="00E227C2" w:rsidRDefault="00117261" w:rsidP="00082C2A">
      <w:pPr>
        <w:spacing w:after="0"/>
        <w:jc w:val="center"/>
        <w:rPr>
          <w:rFonts w:cstheme="minorHAnsi"/>
          <w:b/>
          <w:bCs/>
        </w:rPr>
      </w:pPr>
      <w:r w:rsidRPr="00E227C2">
        <w:rPr>
          <w:rFonts w:cstheme="minorHAnsi"/>
          <w:b/>
          <w:bCs/>
        </w:rPr>
        <w:t>COMMITTEE ON AQUACULTURE - JOINT</w:t>
      </w:r>
    </w:p>
    <w:p w14:paraId="5079B9DB" w14:textId="17E1F832" w:rsidR="00117261" w:rsidRPr="00E227C2" w:rsidRDefault="00117261" w:rsidP="00082C2A">
      <w:pPr>
        <w:spacing w:after="0"/>
        <w:jc w:val="center"/>
        <w:rPr>
          <w:rFonts w:cstheme="minorHAnsi"/>
          <w:b/>
          <w:bCs/>
        </w:rPr>
      </w:pPr>
      <w:r w:rsidRPr="00E227C2">
        <w:rPr>
          <w:rFonts w:cstheme="minorHAnsi"/>
          <w:b/>
          <w:bCs/>
        </w:rPr>
        <w:t>Chair: Dr. Reddy Bommineni</w:t>
      </w:r>
    </w:p>
    <w:p w14:paraId="68DBD754" w14:textId="77777777" w:rsidR="00117261" w:rsidRPr="00E227C2" w:rsidRDefault="00117261" w:rsidP="00082C2A">
      <w:pPr>
        <w:spacing w:after="0"/>
        <w:jc w:val="center"/>
        <w:rPr>
          <w:rFonts w:cstheme="minorHAnsi"/>
          <w:b/>
          <w:bCs/>
        </w:rPr>
      </w:pPr>
      <w:r w:rsidRPr="00E227C2">
        <w:rPr>
          <w:rFonts w:cstheme="minorHAnsi"/>
          <w:b/>
          <w:bCs/>
        </w:rPr>
        <w:t>Vice Chair: Dr. Marcus J. Webster</w:t>
      </w:r>
    </w:p>
    <w:p w14:paraId="72340D68" w14:textId="77777777" w:rsidR="00F219C4" w:rsidRPr="00E227C2" w:rsidRDefault="00F219C4" w:rsidP="00117261">
      <w:pPr>
        <w:rPr>
          <w:rFonts w:cstheme="minorHAnsi"/>
        </w:rPr>
      </w:pPr>
    </w:p>
    <w:p w14:paraId="54E0AA60" w14:textId="272FDCBD" w:rsidR="00117261" w:rsidRPr="00E227C2" w:rsidRDefault="00117261" w:rsidP="00F219C4">
      <w:pPr>
        <w:jc w:val="center"/>
        <w:rPr>
          <w:rFonts w:cstheme="minorHAnsi"/>
        </w:rPr>
      </w:pPr>
      <w:r w:rsidRPr="00E227C2">
        <w:rPr>
          <w:rFonts w:cstheme="minorHAnsi"/>
        </w:rPr>
        <w:t>2026 Committee Roster</w:t>
      </w:r>
    </w:p>
    <w:p w14:paraId="49F4FE30" w14:textId="77777777" w:rsidR="00117261" w:rsidRPr="00E227C2" w:rsidRDefault="00117261" w:rsidP="00F219C4">
      <w:pPr>
        <w:jc w:val="center"/>
        <w:rPr>
          <w:rFonts w:cstheme="minorHAnsi"/>
        </w:rPr>
      </w:pPr>
      <w:r w:rsidRPr="00E227C2">
        <w:rPr>
          <w:rFonts w:cstheme="minorHAnsi"/>
        </w:rPr>
        <w:t>Chair: Dr. Reddy Bommineni • Vice-Chair: Dr. Marcus J. Webster</w:t>
      </w:r>
    </w:p>
    <w:p w14:paraId="60D9C052" w14:textId="7BD07AB1" w:rsidR="00117261" w:rsidRPr="00E227C2" w:rsidRDefault="00117261" w:rsidP="00117261">
      <w:pPr>
        <w:rPr>
          <w:rFonts w:cstheme="minorHAnsi"/>
        </w:rPr>
      </w:pPr>
      <w:r w:rsidRPr="00E227C2">
        <w:rPr>
          <w:rFonts w:cstheme="minorHAnsi"/>
        </w:rPr>
        <w:t xml:space="preserve">Peter Belinsky; Kathryn Benavidez </w:t>
      </w:r>
      <w:proofErr w:type="spellStart"/>
      <w:r w:rsidRPr="00E227C2">
        <w:rPr>
          <w:rFonts w:cstheme="minorHAnsi"/>
        </w:rPr>
        <w:t>Westrich</w:t>
      </w:r>
      <w:proofErr w:type="spellEnd"/>
      <w:r w:rsidRPr="00E227C2">
        <w:rPr>
          <w:rFonts w:cstheme="minorHAnsi"/>
        </w:rPr>
        <w:t xml:space="preserve">; Randy </w:t>
      </w:r>
      <w:proofErr w:type="spellStart"/>
      <w:r w:rsidRPr="00E227C2">
        <w:rPr>
          <w:rFonts w:cstheme="minorHAnsi"/>
        </w:rPr>
        <w:t>Berghefer</w:t>
      </w:r>
      <w:proofErr w:type="spellEnd"/>
      <w:r w:rsidRPr="00E227C2">
        <w:rPr>
          <w:rFonts w:cstheme="minorHAnsi"/>
        </w:rPr>
        <w:t xml:space="preserve">; Carolynn Bissett; Reddy Bommineni; Beverly Byrum; Christine Casey; Sarah Coburn; Kim Conway; Michael Costin; </w:t>
      </w:r>
      <w:proofErr w:type="spellStart"/>
      <w:r w:rsidRPr="00E227C2">
        <w:rPr>
          <w:rFonts w:cstheme="minorHAnsi"/>
        </w:rPr>
        <w:t>Beate</w:t>
      </w:r>
      <w:proofErr w:type="spellEnd"/>
      <w:r w:rsidRPr="00E227C2">
        <w:rPr>
          <w:rFonts w:cstheme="minorHAnsi"/>
        </w:rPr>
        <w:t xml:space="preserve"> Crossley; Caitlyn </w:t>
      </w:r>
      <w:proofErr w:type="spellStart"/>
      <w:r w:rsidRPr="00E227C2">
        <w:rPr>
          <w:rFonts w:cstheme="minorHAnsi"/>
        </w:rPr>
        <w:t>Czajkowski</w:t>
      </w:r>
      <w:proofErr w:type="spellEnd"/>
      <w:r w:rsidRPr="00E227C2">
        <w:rPr>
          <w:rFonts w:cstheme="minorHAnsi"/>
        </w:rPr>
        <w:t xml:space="preserve">; Bryan </w:t>
      </w:r>
      <w:proofErr w:type="spellStart"/>
      <w:r w:rsidRPr="00E227C2">
        <w:rPr>
          <w:rFonts w:cstheme="minorHAnsi"/>
        </w:rPr>
        <w:t>Deimeke</w:t>
      </w:r>
      <w:proofErr w:type="spellEnd"/>
      <w:r w:rsidRPr="00E227C2">
        <w:rPr>
          <w:rFonts w:cstheme="minorHAnsi"/>
        </w:rPr>
        <w:t xml:space="preserve">; Glenda Dvorak; Colin Gillin; Gail Golab; Keith Haffer; Rod Hall; Alex </w:t>
      </w:r>
      <w:proofErr w:type="spellStart"/>
      <w:r w:rsidRPr="00E227C2">
        <w:rPr>
          <w:rFonts w:cstheme="minorHAnsi"/>
        </w:rPr>
        <w:t>Hamberg</w:t>
      </w:r>
      <w:proofErr w:type="spellEnd"/>
      <w:r w:rsidRPr="00E227C2">
        <w:rPr>
          <w:rFonts w:cstheme="minorHAnsi"/>
        </w:rPr>
        <w:t xml:space="preserve">; Nate Harvey; Jennifer Haugland; Eileen Henderson; </w:t>
      </w:r>
      <w:proofErr w:type="spellStart"/>
      <w:r w:rsidRPr="00E227C2">
        <w:rPr>
          <w:rFonts w:cstheme="minorHAnsi"/>
        </w:rPr>
        <w:t>Janemarie</w:t>
      </w:r>
      <w:proofErr w:type="spellEnd"/>
      <w:r w:rsidRPr="00E227C2">
        <w:rPr>
          <w:rFonts w:cstheme="minorHAnsi"/>
        </w:rPr>
        <w:t xml:space="preserve"> </w:t>
      </w:r>
      <w:proofErr w:type="spellStart"/>
      <w:r w:rsidRPr="00E227C2">
        <w:rPr>
          <w:rFonts w:cstheme="minorHAnsi"/>
        </w:rPr>
        <w:t>Hennebelle</w:t>
      </w:r>
      <w:proofErr w:type="spellEnd"/>
      <w:r w:rsidRPr="00E227C2">
        <w:rPr>
          <w:rFonts w:cstheme="minorHAnsi"/>
        </w:rPr>
        <w:t xml:space="preserve">; Don Hoenig; Aimee Hunt; Melissa Justice; Jeffrey Kaisand; Donna Kelly; Lester Khoo; Diane Kitchen; Patrice Klein; Darlene Konkle; Berend Koops; Melanie Kunkel; Kevin Lahmers; Molly Lee; Christina Loiacono; Scott Marshall; Michael Martin; Miriam Martin; Heather Mitchell; Peter </w:t>
      </w:r>
      <w:proofErr w:type="spellStart"/>
      <w:r w:rsidRPr="00E227C2">
        <w:rPr>
          <w:rFonts w:cstheme="minorHAnsi"/>
        </w:rPr>
        <w:t>Mundschenk</w:t>
      </w:r>
      <w:proofErr w:type="spellEnd"/>
      <w:r w:rsidRPr="00E227C2">
        <w:rPr>
          <w:rFonts w:cstheme="minorHAnsi"/>
        </w:rPr>
        <w:t xml:space="preserve">; Mike Neault; Michael Odian; Richard Oliver; Lanny Pace; Amar Patil; Olivia Perkins; Allison </w:t>
      </w:r>
      <w:proofErr w:type="spellStart"/>
      <w:r w:rsidRPr="00E227C2">
        <w:rPr>
          <w:rFonts w:cstheme="minorHAnsi"/>
        </w:rPr>
        <w:t>Phibbs</w:t>
      </w:r>
      <w:proofErr w:type="spellEnd"/>
      <w:r w:rsidRPr="00E227C2">
        <w:rPr>
          <w:rFonts w:cstheme="minorHAnsi"/>
        </w:rPr>
        <w:t xml:space="preserve">; Bill Pittenger; Amanda Price; Hunter Reed; Jim Roth; Sherri Russell; E Sabo; John Sanders Jr.; Julia </w:t>
      </w:r>
      <w:proofErr w:type="spellStart"/>
      <w:r w:rsidRPr="00E227C2">
        <w:rPr>
          <w:rFonts w:cstheme="minorHAnsi"/>
        </w:rPr>
        <w:t>Schaar</w:t>
      </w:r>
      <w:proofErr w:type="spellEnd"/>
      <w:r w:rsidRPr="00E227C2">
        <w:rPr>
          <w:rFonts w:cstheme="minorHAnsi"/>
        </w:rPr>
        <w:t>; Heindrich Snyman; Dennis Summers; Jennifer Weber; Marcus Webster; Nora Wineland; Mark Wittrock; Ryan Wolker; Paul Zajicek.</w:t>
      </w:r>
    </w:p>
    <w:p w14:paraId="7EAB6CD0" w14:textId="77777777" w:rsidR="00CD3E03" w:rsidRPr="00E227C2" w:rsidRDefault="00CD3E03" w:rsidP="00117261">
      <w:pPr>
        <w:rPr>
          <w:rFonts w:cstheme="minorHAnsi"/>
        </w:rPr>
      </w:pPr>
    </w:p>
    <w:p w14:paraId="1CB3FBC2" w14:textId="58F21E31" w:rsidR="00117261" w:rsidRPr="00E227C2" w:rsidRDefault="00117261" w:rsidP="00117261">
      <w:pPr>
        <w:rPr>
          <w:rFonts w:cstheme="minorHAnsi"/>
        </w:rPr>
      </w:pPr>
      <w:r w:rsidRPr="00E227C2">
        <w:rPr>
          <w:rFonts w:cstheme="minorHAnsi"/>
        </w:rPr>
        <w:t xml:space="preserve">The Committee met during the 2026 Annual Meeting in Madison, Wisconsin on October 19th. There were [X] members and [X] guests in attendance. The Chair opened the meeting at 3:15pm by welcoming members, introducing the Committee Vice </w:t>
      </w:r>
      <w:proofErr w:type="gramStart"/>
      <w:r w:rsidRPr="00E227C2">
        <w:rPr>
          <w:rFonts w:cstheme="minorHAnsi"/>
        </w:rPr>
        <w:t>Chair</w:t>
      </w:r>
      <w:proofErr w:type="gramEnd"/>
      <w:r w:rsidRPr="00E227C2">
        <w:rPr>
          <w:rFonts w:cstheme="minorHAnsi"/>
        </w:rPr>
        <w:t xml:space="preserve"> and acknowledging </w:t>
      </w:r>
      <w:r w:rsidR="00E227C2" w:rsidRPr="00E227C2">
        <w:rPr>
          <w:rFonts w:cstheme="minorHAnsi"/>
        </w:rPr>
        <w:t>attendees.</w:t>
      </w:r>
    </w:p>
    <w:p w14:paraId="2320D868" w14:textId="77777777" w:rsidR="00F219C4" w:rsidRPr="00E227C2" w:rsidRDefault="00F219C4" w:rsidP="00117261">
      <w:pPr>
        <w:rPr>
          <w:rFonts w:cstheme="minorHAnsi"/>
        </w:rPr>
      </w:pPr>
    </w:p>
    <w:p w14:paraId="3FCDFF84" w14:textId="2C145580" w:rsidR="00117261" w:rsidRPr="00E227C2" w:rsidRDefault="00117261" w:rsidP="00117261">
      <w:pPr>
        <w:rPr>
          <w:rFonts w:cstheme="minorHAnsi"/>
        </w:rPr>
      </w:pPr>
      <w:r w:rsidRPr="00E227C2">
        <w:rPr>
          <w:rFonts w:cstheme="minorHAnsi"/>
        </w:rPr>
        <w:t>Presentations:</w:t>
      </w:r>
    </w:p>
    <w:p w14:paraId="22B5D0F5" w14:textId="4D99C5AA" w:rsidR="00117261" w:rsidRPr="00E227C2" w:rsidRDefault="00117261" w:rsidP="00117261">
      <w:pPr>
        <w:rPr>
          <w:rFonts w:cstheme="minorHAnsi"/>
          <w:b/>
          <w:bCs/>
        </w:rPr>
      </w:pPr>
      <w:r w:rsidRPr="00E227C2">
        <w:rPr>
          <w:rFonts w:cstheme="minorHAnsi"/>
        </w:rPr>
        <w:t xml:space="preserve"> </w:t>
      </w:r>
      <w:r w:rsidRPr="00E227C2">
        <w:rPr>
          <w:rFonts w:cstheme="minorHAnsi"/>
          <w:b/>
          <w:bCs/>
        </w:rPr>
        <w:t xml:space="preserve">Coordinating State and Federal Aquaculture Programs in </w:t>
      </w:r>
      <w:proofErr w:type="spellStart"/>
      <w:r w:rsidRPr="00E227C2">
        <w:rPr>
          <w:rFonts w:cstheme="minorHAnsi"/>
          <w:b/>
          <w:bCs/>
        </w:rPr>
        <w:t>Hawaiʻi</w:t>
      </w:r>
      <w:proofErr w:type="spellEnd"/>
      <w:r w:rsidRPr="00E227C2">
        <w:rPr>
          <w:rFonts w:cstheme="minorHAnsi"/>
          <w:b/>
          <w:bCs/>
        </w:rPr>
        <w:t xml:space="preserve"> to Improve Support for Producers.</w:t>
      </w:r>
    </w:p>
    <w:p w14:paraId="341E14EE" w14:textId="7F707268" w:rsidR="00117261" w:rsidRPr="00E227C2" w:rsidRDefault="00117261" w:rsidP="00F219C4">
      <w:pPr>
        <w:spacing w:after="0"/>
        <w:jc w:val="center"/>
        <w:rPr>
          <w:rFonts w:cstheme="minorHAnsi"/>
        </w:rPr>
      </w:pPr>
      <w:r w:rsidRPr="00E227C2">
        <w:rPr>
          <w:rFonts w:cstheme="minorHAnsi"/>
        </w:rPr>
        <w:t>Micah C. Brodsky, VMD</w:t>
      </w:r>
    </w:p>
    <w:p w14:paraId="0115C4B5" w14:textId="77777777" w:rsidR="00117261" w:rsidRPr="00E227C2" w:rsidRDefault="00117261" w:rsidP="00F219C4">
      <w:pPr>
        <w:spacing w:after="0"/>
        <w:jc w:val="center"/>
        <w:rPr>
          <w:rFonts w:cstheme="minorHAnsi"/>
        </w:rPr>
      </w:pPr>
      <w:r w:rsidRPr="00E227C2">
        <w:rPr>
          <w:rFonts w:cstheme="minorHAnsi"/>
        </w:rPr>
        <w:t>Veterinary Medical Officer III – Aquatic</w:t>
      </w:r>
    </w:p>
    <w:p w14:paraId="3B2809DA" w14:textId="77777777" w:rsidR="00117261" w:rsidRPr="00E227C2" w:rsidRDefault="00117261" w:rsidP="00F219C4">
      <w:pPr>
        <w:spacing w:after="0"/>
        <w:jc w:val="center"/>
        <w:rPr>
          <w:rFonts w:cstheme="minorHAnsi"/>
        </w:rPr>
      </w:pPr>
      <w:proofErr w:type="spellStart"/>
      <w:r w:rsidRPr="00E227C2">
        <w:rPr>
          <w:rFonts w:cstheme="minorHAnsi"/>
        </w:rPr>
        <w:t>Hawaiʻi</w:t>
      </w:r>
      <w:proofErr w:type="spellEnd"/>
      <w:r w:rsidRPr="00E227C2">
        <w:rPr>
          <w:rFonts w:cstheme="minorHAnsi"/>
        </w:rPr>
        <w:t xml:space="preserve"> Department of Agriculture and Biosecurity</w:t>
      </w:r>
    </w:p>
    <w:p w14:paraId="569BF35D" w14:textId="77777777" w:rsidR="00CB1640" w:rsidRPr="00E227C2" w:rsidRDefault="00CB1640" w:rsidP="00117261">
      <w:pPr>
        <w:rPr>
          <w:rFonts w:cstheme="minorHAnsi"/>
        </w:rPr>
      </w:pPr>
    </w:p>
    <w:p w14:paraId="72633B0F" w14:textId="4114D66F" w:rsidR="00117261" w:rsidRPr="00E227C2" w:rsidRDefault="00117261" w:rsidP="00117261">
      <w:pPr>
        <w:rPr>
          <w:rFonts w:cstheme="minorHAnsi"/>
        </w:rPr>
      </w:pPr>
      <w:r w:rsidRPr="00E227C2">
        <w:rPr>
          <w:rFonts w:cstheme="minorHAnsi"/>
        </w:rPr>
        <w:t xml:space="preserve">Aquaculture has been the fastest growing sector of the food production agriculture industry for nearly 50 years, and aquaculture producers have provided over half of the seafood consumed globally since 2022.  Progressive globalization of the aquaculture industry has resulted in increased movements of aquatic animals and international trade. </w:t>
      </w:r>
      <w:proofErr w:type="spellStart"/>
      <w:r w:rsidRPr="00E227C2">
        <w:rPr>
          <w:rFonts w:cstheme="minorHAnsi"/>
        </w:rPr>
        <w:t>Hawaiʻi</w:t>
      </w:r>
      <w:proofErr w:type="spellEnd"/>
      <w:r w:rsidRPr="00E227C2">
        <w:rPr>
          <w:rFonts w:cstheme="minorHAnsi"/>
        </w:rPr>
        <w:t xml:space="preserve"> has been a hub for modern aquaculture research and innovation for more than 50 years, with long standing state regulatory programs and animal movement controls. At their foundation, both state and federal regulatory programs and movement controls are intended to safeguard the domestic Aquaculture industry and facilitate trade and animal movements. For producers, establishing and maintaining programmatic compliance represents a significant commitment of human and financial resources. In </w:t>
      </w:r>
      <w:proofErr w:type="spellStart"/>
      <w:r w:rsidRPr="00E227C2">
        <w:rPr>
          <w:rFonts w:cstheme="minorHAnsi"/>
        </w:rPr>
        <w:t>Hawaiʻi</w:t>
      </w:r>
      <w:proofErr w:type="spellEnd"/>
      <w:r w:rsidRPr="00E227C2">
        <w:rPr>
          <w:rFonts w:cstheme="minorHAnsi"/>
        </w:rPr>
        <w:t xml:space="preserve">, significant effort has been made to coordinate overlapping requirements in the state and federal regulatory programs to reduce duplication of effort and financial burden. Some examples that will be highlighted in this talk are surveillance testing for state and federal shrimp health programs, workforce development for USDA Accredited veterinarians </w:t>
      </w:r>
      <w:r w:rsidRPr="00E227C2">
        <w:rPr>
          <w:rFonts w:cstheme="minorHAnsi"/>
        </w:rPr>
        <w:lastRenderedPageBreak/>
        <w:t>to support aquaculture producers, and future opportunities for state and federal collaboration to support the aquaculture industry.</w:t>
      </w:r>
    </w:p>
    <w:p w14:paraId="413FA276" w14:textId="77777777" w:rsidR="00CB1640" w:rsidRPr="00E227C2" w:rsidRDefault="00CB1640" w:rsidP="00117261">
      <w:pPr>
        <w:rPr>
          <w:rFonts w:cstheme="minorHAnsi"/>
          <w:b/>
          <w:bCs/>
        </w:rPr>
      </w:pPr>
    </w:p>
    <w:p w14:paraId="083C89BE" w14:textId="0C6EC5B9" w:rsidR="00117261" w:rsidRPr="00E227C2" w:rsidRDefault="00117261" w:rsidP="009D3C4C">
      <w:pPr>
        <w:jc w:val="center"/>
        <w:rPr>
          <w:rFonts w:cstheme="minorHAnsi"/>
          <w:b/>
          <w:bCs/>
        </w:rPr>
      </w:pPr>
      <w:r w:rsidRPr="00E227C2">
        <w:rPr>
          <w:rFonts w:cstheme="minorHAnsi"/>
          <w:b/>
          <w:bCs/>
        </w:rPr>
        <w:t xml:space="preserve">Updates to the Taxonomy, Diagnostics, and Regulations of </w:t>
      </w:r>
      <w:proofErr w:type="spellStart"/>
      <w:r w:rsidRPr="00E227C2">
        <w:rPr>
          <w:rFonts w:cstheme="minorHAnsi"/>
          <w:b/>
          <w:bCs/>
        </w:rPr>
        <w:t>Megalocytiviruses</w:t>
      </w:r>
      <w:proofErr w:type="spellEnd"/>
    </w:p>
    <w:p w14:paraId="157D0522" w14:textId="4148590A" w:rsidR="00117261" w:rsidRPr="00E227C2" w:rsidRDefault="00117261" w:rsidP="00CB1640">
      <w:pPr>
        <w:spacing w:after="0"/>
        <w:jc w:val="center"/>
        <w:rPr>
          <w:rFonts w:cstheme="minorHAnsi"/>
        </w:rPr>
      </w:pPr>
      <w:r w:rsidRPr="00E227C2">
        <w:rPr>
          <w:rFonts w:cstheme="minorHAnsi"/>
        </w:rPr>
        <w:t>Dr. Thomas B. Waltzek</w:t>
      </w:r>
    </w:p>
    <w:p w14:paraId="783AAB49" w14:textId="7650043C" w:rsidR="00117261" w:rsidRPr="00E227C2" w:rsidRDefault="00117261" w:rsidP="00CB1640">
      <w:pPr>
        <w:spacing w:after="0"/>
        <w:jc w:val="center"/>
        <w:rPr>
          <w:rFonts w:cstheme="minorHAnsi"/>
        </w:rPr>
      </w:pPr>
      <w:r w:rsidRPr="00E227C2">
        <w:rPr>
          <w:rFonts w:cstheme="minorHAnsi"/>
        </w:rPr>
        <w:t>Professor in Aquatics</w:t>
      </w:r>
      <w:r w:rsidR="00775078" w:rsidRPr="00E227C2">
        <w:rPr>
          <w:rFonts w:cstheme="minorHAnsi"/>
        </w:rPr>
        <w:t>,</w:t>
      </w:r>
      <w:r w:rsidRPr="00E227C2">
        <w:rPr>
          <w:rFonts w:cstheme="minorHAnsi"/>
        </w:rPr>
        <w:t xml:space="preserve"> Washington State University</w:t>
      </w:r>
    </w:p>
    <w:p w14:paraId="554026A7" w14:textId="77777777" w:rsidR="009D3C4C" w:rsidRPr="00E227C2" w:rsidRDefault="009D3C4C" w:rsidP="00CB1640">
      <w:pPr>
        <w:spacing w:after="0"/>
        <w:jc w:val="center"/>
        <w:rPr>
          <w:rFonts w:cstheme="minorHAnsi"/>
        </w:rPr>
      </w:pPr>
    </w:p>
    <w:p w14:paraId="35B1313B" w14:textId="77777777" w:rsidR="003E06D2" w:rsidRPr="003E06D2" w:rsidRDefault="003E06D2" w:rsidP="003E06D2">
      <w:pPr>
        <w:shd w:val="clear" w:color="auto" w:fill="FFFFFF"/>
        <w:spacing w:line="240" w:lineRule="auto"/>
        <w:textAlignment w:val="baseline"/>
        <w:rPr>
          <w:rFonts w:eastAsia="Times New Roman" w:cstheme="minorHAnsi"/>
          <w:color w:val="000000"/>
          <w:kern w:val="0"/>
          <w14:ligatures w14:val="none"/>
        </w:rPr>
      </w:pPr>
      <w:r w:rsidRPr="003E06D2">
        <w:rPr>
          <w:rFonts w:eastAsia="Times New Roman" w:cstheme="minorHAnsi"/>
          <w:color w:val="000000"/>
          <w:kern w:val="0"/>
          <w14:ligatures w14:val="none"/>
        </w:rPr>
        <w:t xml:space="preserve">Species within the genus </w:t>
      </w:r>
      <w:proofErr w:type="spellStart"/>
      <w:r w:rsidRPr="003E06D2">
        <w:rPr>
          <w:rFonts w:eastAsia="Times New Roman" w:cstheme="minorHAnsi"/>
          <w:i/>
          <w:iCs/>
          <w:color w:val="000000"/>
          <w:kern w:val="0"/>
          <w14:ligatures w14:val="none"/>
        </w:rPr>
        <w:t>Megalocytivirus</w:t>
      </w:r>
      <w:proofErr w:type="spellEnd"/>
      <w:r w:rsidRPr="003E06D2">
        <w:rPr>
          <w:rFonts w:eastAsia="Times New Roman" w:cstheme="minorHAnsi"/>
          <w:color w:val="000000"/>
          <w:kern w:val="0"/>
          <w14:ligatures w14:val="none"/>
        </w:rPr>
        <w:t xml:space="preserve"> (family </w:t>
      </w:r>
      <w:proofErr w:type="spellStart"/>
      <w:r w:rsidRPr="003E06D2">
        <w:rPr>
          <w:rFonts w:eastAsia="Times New Roman" w:cstheme="minorHAnsi"/>
          <w:i/>
          <w:iCs/>
          <w:color w:val="000000"/>
          <w:kern w:val="0"/>
          <w14:ligatures w14:val="none"/>
        </w:rPr>
        <w:t>Iridoviridae</w:t>
      </w:r>
      <w:proofErr w:type="spellEnd"/>
      <w:r w:rsidRPr="003E06D2">
        <w:rPr>
          <w:rFonts w:eastAsia="Times New Roman" w:cstheme="minorHAnsi"/>
          <w:color w:val="000000"/>
          <w:kern w:val="0"/>
          <w14:ligatures w14:val="none"/>
        </w:rPr>
        <w:t xml:space="preserve">) have undergone significant changes to their taxonomy, diagnostics, and regulations. For example, </w:t>
      </w:r>
      <w:r w:rsidRPr="003E06D2">
        <w:rPr>
          <w:rFonts w:eastAsia="Times New Roman" w:cstheme="minorHAnsi"/>
          <w:i/>
          <w:iCs/>
          <w:color w:val="000000"/>
          <w:kern w:val="0"/>
          <w14:ligatures w14:val="none"/>
        </w:rPr>
        <w:t>Infectious spleen and kidney necrosis virus</w:t>
      </w:r>
      <w:r w:rsidRPr="003E06D2">
        <w:rPr>
          <w:rFonts w:eastAsia="Times New Roman" w:cstheme="minorHAnsi"/>
          <w:color w:val="000000"/>
          <w:kern w:val="0"/>
          <w14:ligatures w14:val="none"/>
        </w:rPr>
        <w:t xml:space="preserve"> has been renamed to </w:t>
      </w:r>
      <w:proofErr w:type="spellStart"/>
      <w:r w:rsidRPr="003E06D2">
        <w:rPr>
          <w:rFonts w:eastAsia="Times New Roman" w:cstheme="minorHAnsi"/>
          <w:i/>
          <w:iCs/>
          <w:color w:val="000000"/>
          <w:kern w:val="0"/>
          <w14:ligatures w14:val="none"/>
        </w:rPr>
        <w:t>Megalocytivirus</w:t>
      </w:r>
      <w:proofErr w:type="spellEnd"/>
      <w:r w:rsidRPr="003E06D2">
        <w:rPr>
          <w:rFonts w:eastAsia="Times New Roman" w:cstheme="minorHAnsi"/>
          <w:i/>
          <w:iCs/>
          <w:color w:val="000000"/>
          <w:kern w:val="0"/>
          <w14:ligatures w14:val="none"/>
        </w:rPr>
        <w:t xml:space="preserve"> pagrus1</w:t>
      </w:r>
      <w:r w:rsidRPr="003E06D2">
        <w:rPr>
          <w:rFonts w:eastAsia="Times New Roman" w:cstheme="minorHAnsi"/>
          <w:color w:val="000000"/>
          <w:kern w:val="0"/>
          <w14:ligatures w14:val="none"/>
        </w:rPr>
        <w:t xml:space="preserve">. </w:t>
      </w:r>
      <w:proofErr w:type="spellStart"/>
      <w:r w:rsidRPr="003E06D2">
        <w:rPr>
          <w:rFonts w:eastAsia="Times New Roman" w:cstheme="minorHAnsi"/>
          <w:i/>
          <w:iCs/>
          <w:color w:val="000000"/>
          <w:kern w:val="0"/>
          <w14:ligatures w14:val="none"/>
        </w:rPr>
        <w:t>Megalocytivirus</w:t>
      </w:r>
      <w:proofErr w:type="spellEnd"/>
      <w:r w:rsidRPr="003E06D2">
        <w:rPr>
          <w:rFonts w:eastAsia="Times New Roman" w:cstheme="minorHAnsi"/>
          <w:i/>
          <w:iCs/>
          <w:color w:val="000000"/>
          <w:kern w:val="0"/>
          <w14:ligatures w14:val="none"/>
        </w:rPr>
        <w:t xml:space="preserve"> pagrus1 </w:t>
      </w:r>
      <w:r w:rsidRPr="003E06D2">
        <w:rPr>
          <w:rFonts w:eastAsia="Times New Roman" w:cstheme="minorHAnsi"/>
          <w:color w:val="000000"/>
          <w:kern w:val="0"/>
          <w14:ligatures w14:val="none"/>
        </w:rPr>
        <w:t xml:space="preserve">can be subdivided into three genotypes: infectious spleen and kidney necrosis virus (ISKNV), red sea bream iridovirus (RSIV), and the turbot reddish body iridovirus (TRBIV). Each genogroup differs in host range, epidemiology, and historical detection, with RSIV first identified in the early 1990s and ISKNV recognized a few years earlier in Chinese perch. Prior to 2024, only RSIV was reportable to national (e.g., USDA) and international authorities (e.g., World </w:t>
      </w:r>
      <w:proofErr w:type="spellStart"/>
      <w:r w:rsidRPr="003E06D2">
        <w:rPr>
          <w:rFonts w:eastAsia="Times New Roman" w:cstheme="minorHAnsi"/>
          <w:color w:val="000000"/>
          <w:kern w:val="0"/>
          <w14:ligatures w14:val="none"/>
        </w:rPr>
        <w:t>Organisation</w:t>
      </w:r>
      <w:proofErr w:type="spellEnd"/>
      <w:r w:rsidRPr="003E06D2">
        <w:rPr>
          <w:rFonts w:eastAsia="Times New Roman" w:cstheme="minorHAnsi"/>
          <w:color w:val="000000"/>
          <w:kern w:val="0"/>
          <w14:ligatures w14:val="none"/>
        </w:rPr>
        <w:t xml:space="preserve"> for Animal Health; WOAH). Currently, all three genotypes are reportable to WOAH. Regulatory frameworks have been strengthened requiring member countries to report detections and implement surveillance, movement controls, and biosecurity measures.</w:t>
      </w:r>
    </w:p>
    <w:p w14:paraId="69BA66F8" w14:textId="77777777" w:rsidR="003E06D2" w:rsidRPr="003E06D2" w:rsidRDefault="003E06D2" w:rsidP="003E06D2">
      <w:pPr>
        <w:shd w:val="clear" w:color="auto" w:fill="FFFFFF"/>
        <w:spacing w:line="240" w:lineRule="auto"/>
        <w:textAlignment w:val="baseline"/>
        <w:rPr>
          <w:rFonts w:eastAsia="Times New Roman" w:cstheme="minorHAnsi"/>
          <w:color w:val="000000"/>
          <w:kern w:val="0"/>
          <w14:ligatures w14:val="none"/>
        </w:rPr>
      </w:pPr>
      <w:r w:rsidRPr="003E06D2">
        <w:rPr>
          <w:rFonts w:eastAsia="Times New Roman" w:cstheme="minorHAnsi"/>
          <w:color w:val="000000"/>
          <w:kern w:val="0"/>
          <w14:ligatures w14:val="none"/>
        </w:rPr>
        <w:t xml:space="preserve">Importantly, previous diagnostic tests were developed and validated to detect RSIV without consideration of the efficacy of these tests to detect strains of ISKNV and TRBIV. With the </w:t>
      </w:r>
      <w:proofErr w:type="gramStart"/>
      <w:r w:rsidRPr="003E06D2">
        <w:rPr>
          <w:rFonts w:eastAsia="Times New Roman" w:cstheme="minorHAnsi"/>
          <w:color w:val="000000"/>
          <w:kern w:val="0"/>
          <w14:ligatures w14:val="none"/>
        </w:rPr>
        <w:t>aforementioned regulatory</w:t>
      </w:r>
      <w:proofErr w:type="gramEnd"/>
      <w:r w:rsidRPr="003E06D2">
        <w:rPr>
          <w:rFonts w:eastAsia="Times New Roman" w:cstheme="minorHAnsi"/>
          <w:color w:val="000000"/>
          <w:kern w:val="0"/>
          <w14:ligatures w14:val="none"/>
        </w:rPr>
        <w:t xml:space="preserve"> changes, aquatic animal health researchers and diagnosticians recently succeeded in establishing sensitive molecular assays (e.g., quantitative and conventional PCRs) capable of detecting all three </w:t>
      </w:r>
      <w:proofErr w:type="spellStart"/>
      <w:r w:rsidRPr="003E06D2">
        <w:rPr>
          <w:rFonts w:eastAsia="Times New Roman" w:cstheme="minorHAnsi"/>
          <w:i/>
          <w:iCs/>
          <w:color w:val="000000"/>
          <w:kern w:val="0"/>
          <w14:ligatures w14:val="none"/>
        </w:rPr>
        <w:t>Megalocytivirus</w:t>
      </w:r>
      <w:proofErr w:type="spellEnd"/>
      <w:r w:rsidRPr="003E06D2">
        <w:rPr>
          <w:rFonts w:eastAsia="Times New Roman" w:cstheme="minorHAnsi"/>
          <w:i/>
          <w:iCs/>
          <w:color w:val="000000"/>
          <w:kern w:val="0"/>
          <w14:ligatures w14:val="none"/>
        </w:rPr>
        <w:t xml:space="preserve"> pagrus1 </w:t>
      </w:r>
      <w:r w:rsidRPr="003E06D2">
        <w:rPr>
          <w:rFonts w:eastAsia="Times New Roman" w:cstheme="minorHAnsi"/>
          <w:color w:val="000000"/>
          <w:kern w:val="0"/>
          <w14:ligatures w14:val="none"/>
        </w:rPr>
        <w:t xml:space="preserve">genotypes. Histopathology remains an important complementary tool, particularly for identifying characteristic intracytoplasmic inclusion bodies during infection. These diagnostic updates have enhanced global disease monitoring, </w:t>
      </w:r>
      <w:proofErr w:type="gramStart"/>
      <w:r w:rsidRPr="003E06D2">
        <w:rPr>
          <w:rFonts w:eastAsia="Times New Roman" w:cstheme="minorHAnsi"/>
          <w:color w:val="000000"/>
          <w:kern w:val="0"/>
          <w14:ligatures w14:val="none"/>
        </w:rPr>
        <w:t>supporting</w:t>
      </w:r>
      <w:proofErr w:type="gramEnd"/>
      <w:r w:rsidRPr="003E06D2">
        <w:rPr>
          <w:rFonts w:eastAsia="Times New Roman" w:cstheme="minorHAnsi"/>
          <w:color w:val="000000"/>
          <w:kern w:val="0"/>
          <w14:ligatures w14:val="none"/>
        </w:rPr>
        <w:t xml:space="preserve"> early outbreak intervention, and helping to safeguard aquaculture industries from significant economic losses.</w:t>
      </w:r>
    </w:p>
    <w:p w14:paraId="291F42D2" w14:textId="77777777" w:rsidR="00117261" w:rsidRPr="00E227C2" w:rsidRDefault="00117261" w:rsidP="00117261">
      <w:pPr>
        <w:rPr>
          <w:rFonts w:cstheme="minorHAnsi"/>
        </w:rPr>
      </w:pPr>
    </w:p>
    <w:p w14:paraId="2F534BC1" w14:textId="77777777" w:rsidR="00117261" w:rsidRPr="00E227C2" w:rsidRDefault="00117261" w:rsidP="00C937AF">
      <w:pPr>
        <w:jc w:val="center"/>
        <w:rPr>
          <w:rFonts w:cstheme="minorHAnsi"/>
          <w:b/>
          <w:bCs/>
        </w:rPr>
      </w:pPr>
      <w:r w:rsidRPr="00E227C2">
        <w:rPr>
          <w:rFonts w:cstheme="minorHAnsi"/>
          <w:b/>
          <w:bCs/>
        </w:rPr>
        <w:t>APHIS Approval of Labs to Perform Aquatic Diagnostic Tests and Approval Process</w:t>
      </w:r>
    </w:p>
    <w:p w14:paraId="47AE9E55" w14:textId="69532E7A" w:rsidR="00117261" w:rsidRPr="00E227C2" w:rsidRDefault="00117261" w:rsidP="009D3C4C">
      <w:pPr>
        <w:spacing w:after="0"/>
        <w:jc w:val="center"/>
        <w:rPr>
          <w:rFonts w:cstheme="minorHAnsi"/>
        </w:rPr>
      </w:pPr>
      <w:r w:rsidRPr="00E227C2">
        <w:rPr>
          <w:rFonts w:cstheme="minorHAnsi"/>
        </w:rPr>
        <w:t>Janet Warg</w:t>
      </w:r>
    </w:p>
    <w:p w14:paraId="2AA7C39B" w14:textId="7019B229" w:rsidR="00C937AF" w:rsidRPr="00E227C2" w:rsidRDefault="00AE0C3B" w:rsidP="00C937AF">
      <w:pPr>
        <w:spacing w:after="0"/>
        <w:jc w:val="center"/>
        <w:rPr>
          <w:rFonts w:cstheme="minorHAnsi"/>
        </w:rPr>
      </w:pPr>
      <w:proofErr w:type="gramStart"/>
      <w:r>
        <w:rPr>
          <w:rFonts w:cstheme="minorHAnsi"/>
        </w:rPr>
        <w:t>DVL,</w:t>
      </w:r>
      <w:r w:rsidR="00117261" w:rsidRPr="00E227C2">
        <w:rPr>
          <w:rFonts w:cstheme="minorHAnsi"/>
        </w:rPr>
        <w:t>NVSL</w:t>
      </w:r>
      <w:proofErr w:type="gramEnd"/>
      <w:r>
        <w:rPr>
          <w:rFonts w:cstheme="minorHAnsi"/>
        </w:rPr>
        <w:t>, APHIS-VS, USDA</w:t>
      </w:r>
    </w:p>
    <w:p w14:paraId="2A9F17A8" w14:textId="77777777" w:rsidR="00C937AF" w:rsidRPr="00E227C2" w:rsidRDefault="00C937AF" w:rsidP="00C937AF">
      <w:pPr>
        <w:spacing w:after="0"/>
        <w:jc w:val="center"/>
        <w:rPr>
          <w:rFonts w:cstheme="minorHAnsi"/>
        </w:rPr>
      </w:pPr>
    </w:p>
    <w:p w14:paraId="0ED05D07" w14:textId="5EDBA076" w:rsidR="00117261" w:rsidRPr="00E227C2" w:rsidRDefault="00117261" w:rsidP="00117261">
      <w:pPr>
        <w:rPr>
          <w:rFonts w:cstheme="minorHAnsi"/>
        </w:rPr>
      </w:pPr>
      <w:r w:rsidRPr="00E227C2">
        <w:rPr>
          <w:rFonts w:cstheme="minorHAnsi"/>
        </w:rPr>
        <w:t xml:space="preserve">The presentation outlines the requirements and procedures for laboratories seeking APHIS approval to conduct official aquatic animal health testing. It explains that official testing supports export certifications endorsed by APHIS, whereas unofficial testing follows internal laboratory policies and does not support official attestations. The presentation details the application process, which includes submitting laboratory information, quality management documentation, standard operating procedures, and personnel qualifications, followed by a site visit, competency review, and proficiency testing to ensure alignment with internationally recognized </w:t>
      </w:r>
      <w:proofErr w:type="spellStart"/>
      <w:r w:rsidRPr="00E227C2">
        <w:rPr>
          <w:rFonts w:cstheme="minorHAnsi"/>
        </w:rPr>
        <w:t>standards.The</w:t>
      </w:r>
      <w:proofErr w:type="spellEnd"/>
      <w:r w:rsidRPr="00E227C2">
        <w:rPr>
          <w:rFonts w:cstheme="minorHAnsi"/>
        </w:rPr>
        <w:t xml:space="preserve"> presentation further describes the required statements laboratories must provide regarding sample collection, submission documentation, reporting timelines, and compliance with state and federal reporting obligations. It emphasizes that APHIS approved laboratories must notify federal officials when WOAH listed or NLRAD reportable diseases are suspected or detected and must follow established protocols for timely reporting. The </w:t>
      </w:r>
      <w:r w:rsidRPr="00E227C2">
        <w:rPr>
          <w:rFonts w:cstheme="minorHAnsi"/>
        </w:rPr>
        <w:lastRenderedPageBreak/>
        <w:t>presentation concludes by directing inquiries to the NVSL Aquaculture contact email for additional guidance.</w:t>
      </w:r>
    </w:p>
    <w:p w14:paraId="6A8D86B2" w14:textId="77777777" w:rsidR="00117261" w:rsidRPr="00E227C2" w:rsidRDefault="00117261" w:rsidP="00117261">
      <w:pPr>
        <w:rPr>
          <w:rFonts w:cstheme="minorHAnsi"/>
        </w:rPr>
      </w:pPr>
      <w:r w:rsidRPr="00E227C2">
        <w:rPr>
          <w:rFonts w:cstheme="minorHAnsi"/>
        </w:rPr>
        <w:t xml:space="preserve"> </w:t>
      </w:r>
    </w:p>
    <w:p w14:paraId="52753A7F" w14:textId="77777777" w:rsidR="00117261" w:rsidRPr="00E227C2" w:rsidRDefault="00117261" w:rsidP="00C937AF">
      <w:pPr>
        <w:jc w:val="center"/>
        <w:rPr>
          <w:rFonts w:cstheme="minorHAnsi"/>
          <w:b/>
          <w:bCs/>
        </w:rPr>
      </w:pPr>
      <w:r w:rsidRPr="00E227C2">
        <w:rPr>
          <w:rFonts w:cstheme="minorHAnsi"/>
          <w:b/>
          <w:bCs/>
        </w:rPr>
        <w:t>Trained Immunity in Catfish: From Epigenetic Memory to Sustainable Disease Resistance</w:t>
      </w:r>
    </w:p>
    <w:p w14:paraId="76520030" w14:textId="77777777" w:rsidR="00117261" w:rsidRPr="00E227C2" w:rsidRDefault="00117261" w:rsidP="00117261">
      <w:pPr>
        <w:rPr>
          <w:rFonts w:cstheme="minorHAnsi"/>
        </w:rPr>
      </w:pPr>
    </w:p>
    <w:p w14:paraId="42DE1A6A" w14:textId="77777777" w:rsidR="00117261" w:rsidRPr="00E227C2" w:rsidRDefault="00117261" w:rsidP="00C937AF">
      <w:pPr>
        <w:spacing w:after="0"/>
        <w:jc w:val="center"/>
        <w:rPr>
          <w:rFonts w:cstheme="minorHAnsi"/>
          <w:lang w:val="pt-BR"/>
        </w:rPr>
      </w:pPr>
      <w:r w:rsidRPr="00E227C2">
        <w:rPr>
          <w:rFonts w:cstheme="minorHAnsi"/>
          <w:lang w:val="pt-BR"/>
        </w:rPr>
        <w:t>Samah Attia Algharib &amp; Lora Petrie-Hanson</w:t>
      </w:r>
    </w:p>
    <w:p w14:paraId="5DA81A6A" w14:textId="77777777" w:rsidR="00117261" w:rsidRPr="00E227C2" w:rsidRDefault="00117261" w:rsidP="00C937AF">
      <w:pPr>
        <w:spacing w:after="0"/>
        <w:jc w:val="center"/>
        <w:rPr>
          <w:rFonts w:cstheme="minorHAnsi"/>
        </w:rPr>
      </w:pPr>
      <w:r w:rsidRPr="00E227C2">
        <w:rPr>
          <w:rFonts w:cstheme="minorHAnsi"/>
        </w:rPr>
        <w:t xml:space="preserve">Assistant Professor in Clinical Pathology at </w:t>
      </w:r>
      <w:proofErr w:type="spellStart"/>
      <w:r w:rsidRPr="00E227C2">
        <w:rPr>
          <w:rFonts w:cstheme="minorHAnsi"/>
        </w:rPr>
        <w:t>Benha</w:t>
      </w:r>
      <w:proofErr w:type="spellEnd"/>
      <w:r w:rsidRPr="00E227C2">
        <w:rPr>
          <w:rFonts w:cstheme="minorHAnsi"/>
        </w:rPr>
        <w:t xml:space="preserve"> University, Egypt</w:t>
      </w:r>
    </w:p>
    <w:p w14:paraId="150A4068" w14:textId="77777777" w:rsidR="00117261" w:rsidRPr="00E227C2" w:rsidRDefault="00117261" w:rsidP="00C937AF">
      <w:pPr>
        <w:spacing w:after="0"/>
        <w:jc w:val="center"/>
        <w:rPr>
          <w:rFonts w:cstheme="minorHAnsi"/>
        </w:rPr>
      </w:pPr>
      <w:r w:rsidRPr="00E227C2">
        <w:rPr>
          <w:rFonts w:cstheme="minorHAnsi"/>
        </w:rPr>
        <w:t>Research Associate III at Mississippi State University</w:t>
      </w:r>
    </w:p>
    <w:p w14:paraId="45559ED6" w14:textId="77777777" w:rsidR="00117261" w:rsidRPr="00E227C2" w:rsidRDefault="00117261" w:rsidP="00117261">
      <w:pPr>
        <w:rPr>
          <w:rFonts w:cstheme="minorHAnsi"/>
        </w:rPr>
      </w:pPr>
    </w:p>
    <w:p w14:paraId="2DC82C35" w14:textId="7E0B48E7" w:rsidR="00117261" w:rsidRPr="00E227C2" w:rsidRDefault="00117261" w:rsidP="00117261">
      <w:pPr>
        <w:rPr>
          <w:rFonts w:cstheme="minorHAnsi"/>
        </w:rPr>
      </w:pPr>
      <w:r w:rsidRPr="00E227C2">
        <w:rPr>
          <w:rFonts w:cstheme="minorHAnsi"/>
        </w:rPr>
        <w:t>The presentation highlighted recent advances in understanding the epigenetic mechanisms underlying trained immunity in channel catfish. Trained immunity, a form of innate immune memory, has emerged as a promising strategy for enhancing disease resistance in aquaculture species. Our research demonstrated that exposure to β-glucan and mannan induces epigenetic reprogramming characterized by alterations in histone H3K27 and H3K4 modifications. These chromatin changes are closely linked to metabolic and transcriptional adaptations that influence the accessibility of immune-related genes and contribute to enhanced host defense responses.</w:t>
      </w:r>
      <w:r w:rsidR="00C937AF" w:rsidRPr="00E227C2">
        <w:rPr>
          <w:rFonts w:cstheme="minorHAnsi"/>
        </w:rPr>
        <w:t xml:space="preserve"> </w:t>
      </w:r>
      <w:r w:rsidRPr="00E227C2">
        <w:rPr>
          <w:rFonts w:cstheme="minorHAnsi"/>
        </w:rPr>
        <w:t>Through genome-wide epigenetic and transcriptomic analyses, we observed significant enrichment of histone modifications around transcription start sites (TSS), indicating direct regulation of gene expression. Motif enrichment analysis identified binding sites for key immune-related transcription factors, suggesting that chromatin remodeling facilitates transcription factor recruitment and activation of immune pathways. Furthermore, gene set enrichment analysis (GSEA) revealed activation of pathways associated with innate immunity, inflammatory signaling, and pathogen defense. Differential expression analysis confirmed that these epigenetic changes were accompanied by transcriptional activation of immune-related genes, providing strong evidence that β-glucan and mannan reprogram entire immune networks and establish a trained immunity phenotype in channel catfish.</w:t>
      </w:r>
    </w:p>
    <w:p w14:paraId="7354B449" w14:textId="77777777" w:rsidR="00117261" w:rsidRPr="00E227C2" w:rsidRDefault="00117261" w:rsidP="00117261">
      <w:pPr>
        <w:rPr>
          <w:rFonts w:cstheme="minorHAnsi"/>
        </w:rPr>
      </w:pPr>
      <w:r w:rsidRPr="00E227C2">
        <w:rPr>
          <w:rFonts w:cstheme="minorHAnsi"/>
        </w:rPr>
        <w:t>Committee Business:</w:t>
      </w:r>
    </w:p>
    <w:p w14:paraId="5FF9006C" w14:textId="77777777" w:rsidR="00117261" w:rsidRPr="00E227C2" w:rsidRDefault="00117261" w:rsidP="00117261">
      <w:pPr>
        <w:rPr>
          <w:rFonts w:cstheme="minorHAnsi"/>
        </w:rPr>
      </w:pPr>
      <w:r w:rsidRPr="00E227C2">
        <w:rPr>
          <w:rFonts w:cstheme="minorHAnsi"/>
        </w:rPr>
        <w:t xml:space="preserve">One 2025 resolution reviewed with no motion to amend from Submitted/Response with Progress. </w:t>
      </w:r>
    </w:p>
    <w:p w14:paraId="52377F04" w14:textId="77777777" w:rsidR="00775078" w:rsidRPr="00E227C2" w:rsidRDefault="00775078" w:rsidP="00117261">
      <w:pPr>
        <w:rPr>
          <w:rFonts w:cstheme="minorHAnsi"/>
        </w:rPr>
      </w:pPr>
    </w:p>
    <w:p w14:paraId="2642D3F6" w14:textId="5F8025D0" w:rsidR="00117261" w:rsidRPr="00E227C2" w:rsidRDefault="00117261" w:rsidP="00117261">
      <w:pPr>
        <w:rPr>
          <w:rFonts w:cstheme="minorHAnsi"/>
        </w:rPr>
      </w:pPr>
      <w:r w:rsidRPr="00E227C2">
        <w:rPr>
          <w:rFonts w:cstheme="minorHAnsi"/>
        </w:rPr>
        <w:t xml:space="preserve">2025 Resolution 9: Import Health Requirements for Declared Freedom Aquatic Animal Pathogens </w:t>
      </w:r>
    </w:p>
    <w:p w14:paraId="26B2F549" w14:textId="77777777" w:rsidR="00117261" w:rsidRPr="00E227C2" w:rsidRDefault="00117261" w:rsidP="00117261">
      <w:pPr>
        <w:rPr>
          <w:rFonts w:cstheme="minorHAnsi"/>
        </w:rPr>
      </w:pPr>
      <w:r w:rsidRPr="00E227C2">
        <w:rPr>
          <w:rFonts w:cstheme="minorHAnsi"/>
        </w:rPr>
        <w:t xml:space="preserve">The United States Animal Health Association (USAHA) urges the United States Department of Agriculture (USDA), Animal and Plant Health Inspection Service (APHIS), Veterinary Services (VS) to take action to prevent the introduction of foreign aquatic animal pathogens that threaten the health of aquatic livestock and natural resources through untested live animals. Consequently, USAHA requests USDA-APHIS-VS immediately leverage the country’s declaration of freedom and implement import controls to exclude host animals susceptible to the six pathogens from which the United States has declared freedom. The United States Animal Health Association (USAHA) urges the United States Department of Agriculture (USDA), Animal and Plant Health Inspection Service (APHIS), Veterinary Services (VS) to take action to prevent the introduction of foreign aquatic animal pathogens that threaten the health of aquatic livestock and natural resources through untested live animals. Consequently, USAHA requests </w:t>
      </w:r>
      <w:r w:rsidRPr="00E227C2">
        <w:rPr>
          <w:rFonts w:cstheme="minorHAnsi"/>
        </w:rPr>
        <w:lastRenderedPageBreak/>
        <w:t>USDA-APHIS-VS immediately leverage the country’s declaration of freedom and implement import controls to exclude host animals susceptible to the six pathogens from which the United States has declared freedom.</w:t>
      </w:r>
    </w:p>
    <w:p w14:paraId="035D5DF5" w14:textId="77777777" w:rsidR="00775078" w:rsidRPr="00E227C2" w:rsidRDefault="00775078" w:rsidP="00117261">
      <w:pPr>
        <w:rPr>
          <w:rFonts w:cstheme="minorHAnsi"/>
        </w:rPr>
      </w:pPr>
    </w:p>
    <w:p w14:paraId="4358654B" w14:textId="20915B04" w:rsidR="00117261" w:rsidRPr="00E227C2" w:rsidRDefault="00117261" w:rsidP="00117261">
      <w:pPr>
        <w:rPr>
          <w:rFonts w:cstheme="minorHAnsi"/>
        </w:rPr>
      </w:pPr>
      <w:r w:rsidRPr="00E227C2">
        <w:rPr>
          <w:rFonts w:cstheme="minorHAnsi"/>
        </w:rPr>
        <w:t>Interim Response</w:t>
      </w:r>
    </w:p>
    <w:p w14:paraId="3575826A" w14:textId="7B740E3E" w:rsidR="00117261" w:rsidRDefault="00117261" w:rsidP="00117261">
      <w:pPr>
        <w:rPr>
          <w:rFonts w:cstheme="minorHAnsi"/>
        </w:rPr>
      </w:pPr>
      <w:r w:rsidRPr="00E227C2">
        <w:rPr>
          <w:rFonts w:cstheme="minorHAnsi"/>
        </w:rPr>
        <w:t xml:space="preserve">The United States Department of Agriculture (USDA), Animal and Plant Health Inspection Service (APHIS), Veterinary Services (VS) recognizes the concerns of the United States Animal Health Association (USAHA) and appreciates the opportunity to respond. APHIS agrees that import controls are an essential and effective tool in preventing the introduction of foreign aquatic animal pathogens into the United States, particularly the six pathogens for which the United States has established national level freedom. To advance future import controls for these pathogens, updates to the Code of Federal </w:t>
      </w:r>
      <w:proofErr w:type="gramStart"/>
      <w:r w:rsidRPr="00E227C2">
        <w:rPr>
          <w:rFonts w:cstheme="minorHAnsi"/>
        </w:rPr>
        <w:t>Regulations(</w:t>
      </w:r>
      <w:proofErr w:type="gramEnd"/>
      <w:r w:rsidRPr="00E227C2">
        <w:rPr>
          <w:rFonts w:cstheme="minorHAnsi"/>
        </w:rPr>
        <w:t>CFR) are required.</w:t>
      </w:r>
      <w:r w:rsidR="00775078" w:rsidRPr="00E227C2">
        <w:rPr>
          <w:rFonts w:cstheme="minorHAnsi"/>
        </w:rPr>
        <w:t xml:space="preserve"> </w:t>
      </w:r>
      <w:r w:rsidRPr="00E227C2">
        <w:rPr>
          <w:rFonts w:cstheme="minorHAnsi"/>
        </w:rPr>
        <w:t xml:space="preserve">To address this, APHIS has drafted a proposed rule to modernize the CFR </w:t>
      </w:r>
      <w:proofErr w:type="gramStart"/>
      <w:r w:rsidRPr="00E227C2">
        <w:rPr>
          <w:rFonts w:cstheme="minorHAnsi"/>
        </w:rPr>
        <w:t>in the area of</w:t>
      </w:r>
      <w:proofErr w:type="gramEnd"/>
      <w:r w:rsidRPr="00E227C2">
        <w:rPr>
          <w:rFonts w:cstheme="minorHAnsi"/>
        </w:rPr>
        <w:t xml:space="preserve"> live animal aquatic imports. The proposed revisions would allow the agency to recognize emerging risks, add or remove regulated pathogens or species more efficiently, and support the development of targeted import control measures. The proposed rule is currently undergoing internal review and will be published in the Federal Register for public comment once cleared. Currently, APHIS does not have a timeframe for publication.</w:t>
      </w:r>
    </w:p>
    <w:p w14:paraId="251059A2" w14:textId="6E90DE68" w:rsidR="004F091F" w:rsidRPr="00E227C2" w:rsidRDefault="004F091F" w:rsidP="00117261">
      <w:pPr>
        <w:rPr>
          <w:rFonts w:cstheme="minorHAnsi"/>
        </w:rPr>
      </w:pPr>
      <w:r w:rsidRPr="004F091F">
        <w:rPr>
          <w:rFonts w:cstheme="minorHAnsi"/>
        </w:rPr>
        <w:t>The committee has indicated that it finds an interim response acceptable.</w:t>
      </w:r>
    </w:p>
    <w:p w14:paraId="6DAD28A9" w14:textId="7ABAF833" w:rsidR="00117261" w:rsidRPr="00E227C2" w:rsidRDefault="00117261" w:rsidP="00117261">
      <w:pPr>
        <w:rPr>
          <w:rFonts w:cstheme="minorHAnsi"/>
        </w:rPr>
      </w:pPr>
      <w:r w:rsidRPr="00E227C2">
        <w:rPr>
          <w:rFonts w:cstheme="minorHAnsi"/>
        </w:rPr>
        <w:t xml:space="preserve"> Chair Nominations: </w:t>
      </w:r>
    </w:p>
    <w:p w14:paraId="729C5CCF" w14:textId="3C7D6AC8" w:rsidR="00117261" w:rsidRPr="00E227C2" w:rsidRDefault="00117261" w:rsidP="00117261">
      <w:pPr>
        <w:rPr>
          <w:rFonts w:cstheme="minorHAnsi"/>
        </w:rPr>
      </w:pPr>
      <w:r w:rsidRPr="00E227C2">
        <w:rPr>
          <w:rFonts w:cstheme="minorHAnsi"/>
        </w:rPr>
        <w:t xml:space="preserve">The Chair reported his retirement and welcomed members to volunteer to fill the soon to be vacant Vice-Chair position. Nominations would be provided to the AAVLD/USAHA leadership for selection. </w:t>
      </w:r>
    </w:p>
    <w:p w14:paraId="14B060EC" w14:textId="09BB0D62" w:rsidR="00117261" w:rsidRPr="00E227C2" w:rsidRDefault="00117261" w:rsidP="00117261">
      <w:pPr>
        <w:rPr>
          <w:rFonts w:cstheme="minorHAnsi"/>
        </w:rPr>
      </w:pPr>
      <w:r w:rsidRPr="00E227C2">
        <w:rPr>
          <w:rFonts w:cstheme="minorHAnsi"/>
        </w:rPr>
        <w:t xml:space="preserve"> The Committee adjourned at 5:15pm. </w:t>
      </w:r>
    </w:p>
    <w:p w14:paraId="4D82FC4D" w14:textId="77777777" w:rsidR="00117261" w:rsidRPr="00E227C2" w:rsidRDefault="00117261" w:rsidP="00117261">
      <w:pPr>
        <w:rPr>
          <w:rFonts w:cstheme="minorHAnsi"/>
        </w:rPr>
      </w:pPr>
    </w:p>
    <w:p w14:paraId="015F7132" w14:textId="77777777" w:rsidR="0085138F" w:rsidRPr="00E227C2" w:rsidRDefault="0085138F">
      <w:pPr>
        <w:rPr>
          <w:rFonts w:cstheme="minorHAnsi"/>
        </w:rPr>
      </w:pPr>
    </w:p>
    <w:sectPr w:rsidR="0085138F" w:rsidRPr="00E227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61"/>
    <w:rsid w:val="00021F09"/>
    <w:rsid w:val="00082C2A"/>
    <w:rsid w:val="00117261"/>
    <w:rsid w:val="003A69E9"/>
    <w:rsid w:val="003E06D2"/>
    <w:rsid w:val="004F091F"/>
    <w:rsid w:val="00775078"/>
    <w:rsid w:val="0085138F"/>
    <w:rsid w:val="008A2903"/>
    <w:rsid w:val="009D3C4C"/>
    <w:rsid w:val="00A43CCE"/>
    <w:rsid w:val="00AE0C3B"/>
    <w:rsid w:val="00C937AF"/>
    <w:rsid w:val="00CB1640"/>
    <w:rsid w:val="00CD3E03"/>
    <w:rsid w:val="00E227C2"/>
    <w:rsid w:val="00F21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107F"/>
  <w15:chartTrackingRefBased/>
  <w15:docId w15:val="{E4B4D6E9-5C52-400E-BE51-5523100C8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735430">
      <w:bodyDiv w:val="1"/>
      <w:marLeft w:val="0"/>
      <w:marRight w:val="0"/>
      <w:marTop w:val="0"/>
      <w:marBottom w:val="0"/>
      <w:divBdr>
        <w:top w:val="none" w:sz="0" w:space="0" w:color="auto"/>
        <w:left w:val="none" w:sz="0" w:space="0" w:color="auto"/>
        <w:bottom w:val="none" w:sz="0" w:space="0" w:color="auto"/>
        <w:right w:val="none" w:sz="0" w:space="0" w:color="auto"/>
      </w:divBdr>
      <w:divsChild>
        <w:div w:id="655913055">
          <w:marLeft w:val="0"/>
          <w:marRight w:val="0"/>
          <w:marTop w:val="0"/>
          <w:marBottom w:val="0"/>
          <w:divBdr>
            <w:top w:val="none" w:sz="0" w:space="0" w:color="auto"/>
            <w:left w:val="none" w:sz="0" w:space="0" w:color="auto"/>
            <w:bottom w:val="none" w:sz="0" w:space="0" w:color="auto"/>
            <w:right w:val="none" w:sz="0" w:space="0" w:color="auto"/>
          </w:divBdr>
        </w:div>
      </w:divsChild>
    </w:div>
    <w:div w:id="1289357349">
      <w:bodyDiv w:val="1"/>
      <w:marLeft w:val="0"/>
      <w:marRight w:val="0"/>
      <w:marTop w:val="0"/>
      <w:marBottom w:val="0"/>
      <w:divBdr>
        <w:top w:val="none" w:sz="0" w:space="0" w:color="auto"/>
        <w:left w:val="none" w:sz="0" w:space="0" w:color="auto"/>
        <w:bottom w:val="none" w:sz="0" w:space="0" w:color="auto"/>
        <w:right w:val="none" w:sz="0" w:space="0" w:color="auto"/>
      </w:divBdr>
      <w:divsChild>
        <w:div w:id="1869097996">
          <w:marLeft w:val="0"/>
          <w:marRight w:val="0"/>
          <w:marTop w:val="0"/>
          <w:marBottom w:val="160"/>
          <w:divBdr>
            <w:top w:val="none" w:sz="0" w:space="0" w:color="auto"/>
            <w:left w:val="none" w:sz="0" w:space="0" w:color="auto"/>
            <w:bottom w:val="none" w:sz="0" w:space="0" w:color="auto"/>
            <w:right w:val="none" w:sz="0" w:space="0" w:color="auto"/>
          </w:divBdr>
        </w:div>
        <w:div w:id="1469591065">
          <w:marLeft w:val="0"/>
          <w:marRight w:val="0"/>
          <w:marTop w:val="0"/>
          <w:marBottom w:val="160"/>
          <w:divBdr>
            <w:top w:val="none" w:sz="0" w:space="0" w:color="auto"/>
            <w:left w:val="none" w:sz="0" w:space="0" w:color="auto"/>
            <w:bottom w:val="none" w:sz="0" w:space="0" w:color="auto"/>
            <w:right w:val="none" w:sz="0" w:space="0" w:color="auto"/>
          </w:divBdr>
        </w:div>
        <w:div w:id="464929875">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1632</Words>
  <Characters>9309</Characters>
  <Application>Microsoft Office Word</Application>
  <DocSecurity>0</DocSecurity>
  <Lines>77</Lines>
  <Paragraphs>21</Paragraphs>
  <ScaleCrop>false</ScaleCrop>
  <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Bommineni, Reddy</dc:creator>
  <cp:keywords/>
  <dc:description/>
  <cp:lastModifiedBy>Bommineni, Reddy</cp:lastModifiedBy>
  <cp:revision>15</cp:revision>
  <dcterms:created xsi:type="dcterms:W3CDTF">2026-10-19T23:57:00Z</dcterms:created>
  <dcterms:modified xsi:type="dcterms:W3CDTF">2026-10-20T10:55:00Z</dcterms:modified>
</cp:coreProperties>
</file>