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F50A8" w14:textId="6D305320" w:rsidR="00242CB5" w:rsidRPr="00EC6FC5" w:rsidRDefault="00EC6FC5" w:rsidP="00EC6FC5">
      <w:pPr>
        <w:jc w:val="center"/>
        <w:rPr>
          <w:b/>
        </w:rPr>
      </w:pPr>
      <w:r w:rsidRPr="00EC6FC5">
        <w:rPr>
          <w:b/>
        </w:rPr>
        <w:t>Committee on</w:t>
      </w:r>
      <w:r w:rsidR="002E697E">
        <w:rPr>
          <w:b/>
        </w:rPr>
        <w:t xml:space="preserve"> Equine</w:t>
      </w:r>
    </w:p>
    <w:p w14:paraId="71460C3A" w14:textId="77777777" w:rsidR="00EC6FC5" w:rsidRPr="00EC6FC5" w:rsidRDefault="00EC6FC5" w:rsidP="00EC6FC5">
      <w:pPr>
        <w:jc w:val="center"/>
        <w:rPr>
          <w:b/>
        </w:rPr>
      </w:pPr>
      <w:r w:rsidRPr="00EC6FC5">
        <w:rPr>
          <w:b/>
        </w:rPr>
        <w:t>AGENDA</w:t>
      </w:r>
    </w:p>
    <w:p w14:paraId="27500D0D" w14:textId="7681E368" w:rsidR="00EC6FC5" w:rsidRPr="00EC6FC5" w:rsidRDefault="002E697E" w:rsidP="00EC6FC5">
      <w:pPr>
        <w:jc w:val="center"/>
        <w:rPr>
          <w:b/>
        </w:rPr>
      </w:pPr>
      <w:r>
        <w:rPr>
          <w:b/>
        </w:rPr>
        <w:t xml:space="preserve">Monday, </w:t>
      </w:r>
      <w:r w:rsidR="006C75F7">
        <w:rPr>
          <w:b/>
        </w:rPr>
        <w:t>October 19</w:t>
      </w:r>
      <w:r>
        <w:rPr>
          <w:b/>
        </w:rPr>
        <w:t>, 202</w:t>
      </w:r>
      <w:r w:rsidR="003C33B2">
        <w:rPr>
          <w:b/>
        </w:rPr>
        <w:t>6</w:t>
      </w:r>
    </w:p>
    <w:p w14:paraId="35E3C8BD" w14:textId="3B9744BE" w:rsidR="005D41F2" w:rsidRPr="00366105" w:rsidRDefault="00CC21D0" w:rsidP="00366105">
      <w:pPr>
        <w:jc w:val="center"/>
        <w:rPr>
          <w:b/>
        </w:rPr>
      </w:pPr>
      <w:r>
        <w:rPr>
          <w:b/>
        </w:rPr>
        <w:t>10</w:t>
      </w:r>
      <w:r w:rsidR="002E697E">
        <w:rPr>
          <w:b/>
        </w:rPr>
        <w:t>:15-</w:t>
      </w:r>
      <w:r>
        <w:rPr>
          <w:b/>
        </w:rPr>
        <w:t>12</w:t>
      </w:r>
      <w:r w:rsidR="002E697E">
        <w:rPr>
          <w:b/>
        </w:rPr>
        <w:t>:15pm EST</w:t>
      </w:r>
    </w:p>
    <w:p w14:paraId="7E98DE16" w14:textId="77777777" w:rsidR="00EC6FC5" w:rsidRDefault="00EC6FC5" w:rsidP="00EC6FC5">
      <w:pPr>
        <w:jc w:val="center"/>
      </w:pPr>
    </w:p>
    <w:p w14:paraId="498CF39E" w14:textId="2C223FC7" w:rsidR="00780AAB" w:rsidRDefault="00780AAB" w:rsidP="00EC6FC5">
      <w:pPr>
        <w:jc w:val="center"/>
      </w:pPr>
      <w:r>
        <w:t>Chair:</w:t>
      </w:r>
      <w:r w:rsidR="002E697E">
        <w:t xml:space="preserve"> Dr. </w:t>
      </w:r>
      <w:r w:rsidR="00D2341A">
        <w:t>Joe Fisch</w:t>
      </w:r>
    </w:p>
    <w:p w14:paraId="3F6AD787" w14:textId="3600F4AE" w:rsidR="00780AAB" w:rsidRDefault="00780AAB" w:rsidP="00EC6FC5">
      <w:pPr>
        <w:jc w:val="center"/>
      </w:pPr>
      <w:r>
        <w:t xml:space="preserve">Vice Chair: </w:t>
      </w:r>
      <w:r w:rsidR="002E697E">
        <w:t xml:space="preserve">Dr. </w:t>
      </w:r>
      <w:r w:rsidR="00D2341A">
        <w:t>Michael Odian</w:t>
      </w:r>
      <w:r w:rsidR="002E697E">
        <w:t xml:space="preserve"> </w:t>
      </w:r>
    </w:p>
    <w:p w14:paraId="00DB3BCD" w14:textId="77777777" w:rsidR="0075544F" w:rsidRDefault="0075544F" w:rsidP="00EC6FC5">
      <w:pPr>
        <w:jc w:val="center"/>
      </w:pPr>
      <w:bookmarkStart w:id="0" w:name="_Hlk21210576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9"/>
        <w:gridCol w:w="4596"/>
        <w:gridCol w:w="3155"/>
      </w:tblGrid>
      <w:tr w:rsidR="008F5A79" w:rsidRPr="00EC6FC5" w14:paraId="406AC409" w14:textId="77777777" w:rsidTr="00F049B7">
        <w:trPr>
          <w:jc w:val="center"/>
        </w:trPr>
        <w:tc>
          <w:tcPr>
            <w:tcW w:w="1599" w:type="dxa"/>
          </w:tcPr>
          <w:p w14:paraId="7591CE35" w14:textId="77777777" w:rsidR="00EC6FC5" w:rsidRPr="00EC6FC5" w:rsidRDefault="00EC6FC5" w:rsidP="00EC6FC5">
            <w:pPr>
              <w:rPr>
                <w:b/>
              </w:rPr>
            </w:pPr>
            <w:r w:rsidRPr="00EC6FC5">
              <w:rPr>
                <w:b/>
              </w:rPr>
              <w:t>Time</w:t>
            </w:r>
          </w:p>
        </w:tc>
        <w:tc>
          <w:tcPr>
            <w:tcW w:w="4596" w:type="dxa"/>
          </w:tcPr>
          <w:p w14:paraId="75A0C3EF" w14:textId="77777777" w:rsidR="00EC6FC5" w:rsidRPr="00EC6FC5" w:rsidRDefault="00EC6FC5" w:rsidP="00EC6FC5">
            <w:pPr>
              <w:rPr>
                <w:b/>
              </w:rPr>
            </w:pPr>
            <w:r w:rsidRPr="00EC6FC5">
              <w:rPr>
                <w:b/>
              </w:rPr>
              <w:t>Topic/Title</w:t>
            </w:r>
          </w:p>
        </w:tc>
        <w:tc>
          <w:tcPr>
            <w:tcW w:w="3155" w:type="dxa"/>
          </w:tcPr>
          <w:p w14:paraId="338996CB" w14:textId="77777777" w:rsidR="00EC6FC5" w:rsidRPr="00EC6FC5" w:rsidRDefault="00EC6FC5" w:rsidP="00EC6FC5">
            <w:pPr>
              <w:rPr>
                <w:b/>
              </w:rPr>
            </w:pPr>
            <w:r w:rsidRPr="00EC6FC5">
              <w:rPr>
                <w:b/>
              </w:rPr>
              <w:t>Presenter(s)</w:t>
            </w:r>
          </w:p>
        </w:tc>
      </w:tr>
      <w:tr w:rsidR="008F5A79" w:rsidRPr="00EC6FC5" w14:paraId="21B46260" w14:textId="77777777" w:rsidTr="00100F19">
        <w:trPr>
          <w:trHeight w:val="332"/>
          <w:jc w:val="center"/>
        </w:trPr>
        <w:tc>
          <w:tcPr>
            <w:tcW w:w="1599" w:type="dxa"/>
          </w:tcPr>
          <w:p w14:paraId="5AEF6263" w14:textId="3CBCB827" w:rsidR="00EC6FC5" w:rsidRPr="00EC6FC5" w:rsidRDefault="00CC21D0" w:rsidP="00EC6FC5">
            <w:r>
              <w:t>10</w:t>
            </w:r>
            <w:r w:rsidR="002E697E">
              <w:t>:15</w:t>
            </w:r>
            <w:r>
              <w:t>a</w:t>
            </w:r>
            <w:r w:rsidR="002E697E">
              <w:t>m</w:t>
            </w:r>
          </w:p>
        </w:tc>
        <w:tc>
          <w:tcPr>
            <w:tcW w:w="4596" w:type="dxa"/>
          </w:tcPr>
          <w:p w14:paraId="2C9E56FE" w14:textId="0312AEAA" w:rsidR="00EC6FC5" w:rsidRPr="00EC6FC5" w:rsidRDefault="002E697E" w:rsidP="00760992">
            <w:pPr>
              <w:jc w:val="center"/>
            </w:pPr>
            <w:r>
              <w:t>Welcome and Introductions</w:t>
            </w:r>
          </w:p>
        </w:tc>
        <w:tc>
          <w:tcPr>
            <w:tcW w:w="3155" w:type="dxa"/>
          </w:tcPr>
          <w:p w14:paraId="517C1EBF" w14:textId="06AF69AC" w:rsidR="00EC6FC5" w:rsidRPr="00EC6FC5" w:rsidRDefault="002E697E" w:rsidP="00EC6FC5">
            <w:r>
              <w:t xml:space="preserve">Dr. </w:t>
            </w:r>
            <w:r w:rsidR="00D2341A">
              <w:t>Joe Fisch</w:t>
            </w:r>
          </w:p>
        </w:tc>
      </w:tr>
      <w:tr w:rsidR="00D42C87" w:rsidRPr="00EC6FC5" w14:paraId="4189B88C" w14:textId="77777777" w:rsidTr="00F049B7">
        <w:trPr>
          <w:trHeight w:val="458"/>
          <w:jc w:val="center"/>
        </w:trPr>
        <w:tc>
          <w:tcPr>
            <w:tcW w:w="1599" w:type="dxa"/>
          </w:tcPr>
          <w:p w14:paraId="16E365A5" w14:textId="77777777" w:rsidR="002A580E" w:rsidRDefault="00F841D2" w:rsidP="00D42C87">
            <w:r>
              <w:t>10:</w:t>
            </w:r>
            <w:r w:rsidR="002A580E">
              <w:t>15-</w:t>
            </w:r>
          </w:p>
          <w:p w14:paraId="202EC050" w14:textId="74B280D8" w:rsidR="00D42C87" w:rsidRPr="00EC6FC5" w:rsidRDefault="002A580E" w:rsidP="00D42C87">
            <w:r>
              <w:t>10:</w:t>
            </w:r>
            <w:r w:rsidR="00ED36CE">
              <w:t>4</w:t>
            </w:r>
            <w:r>
              <w:t>0am</w:t>
            </w:r>
          </w:p>
        </w:tc>
        <w:tc>
          <w:tcPr>
            <w:tcW w:w="4596" w:type="dxa"/>
          </w:tcPr>
          <w:p w14:paraId="3C9482D2" w14:textId="629799D3" w:rsidR="00D42C87" w:rsidRPr="00EC6FC5" w:rsidRDefault="003C33B2" w:rsidP="008301B0">
            <w:pPr>
              <w:jc w:val="center"/>
            </w:pPr>
            <w:r w:rsidRPr="003C33B2">
              <w:t xml:space="preserve">CSU </w:t>
            </w:r>
            <w:r w:rsidR="00E567D4">
              <w:t>M</w:t>
            </w:r>
            <w:r w:rsidRPr="003C33B2">
              <w:t xml:space="preserve">odeling </w:t>
            </w:r>
            <w:r w:rsidR="00E567D4">
              <w:t>F</w:t>
            </w:r>
            <w:r w:rsidRPr="003C33B2">
              <w:t xml:space="preserve">inal </w:t>
            </w:r>
            <w:r w:rsidR="00E567D4">
              <w:t>R</w:t>
            </w:r>
            <w:r w:rsidRPr="003C33B2">
              <w:t xml:space="preserve">eport on the </w:t>
            </w:r>
            <w:r w:rsidR="00E567D4">
              <w:t>P</w:t>
            </w:r>
            <w:r w:rsidRPr="003C33B2">
              <w:t xml:space="preserve">remises </w:t>
            </w:r>
            <w:r w:rsidR="00E567D4">
              <w:t>M</w:t>
            </w:r>
            <w:r w:rsidRPr="003C33B2">
              <w:t xml:space="preserve">apping </w:t>
            </w:r>
            <w:r w:rsidR="00E567D4">
              <w:t>P</w:t>
            </w:r>
            <w:r w:rsidRPr="003C33B2">
              <w:t>roject</w:t>
            </w:r>
          </w:p>
        </w:tc>
        <w:tc>
          <w:tcPr>
            <w:tcW w:w="3155" w:type="dxa"/>
          </w:tcPr>
          <w:p w14:paraId="286B9040" w14:textId="1BD27279" w:rsidR="00D42C87" w:rsidRPr="00EC6FC5" w:rsidRDefault="00732AD5" w:rsidP="00D42C87">
            <w:r>
              <w:t xml:space="preserve">Dr. </w:t>
            </w:r>
            <w:r w:rsidR="00270D13">
              <w:t>Sangeeta Rao</w:t>
            </w:r>
            <w:r w:rsidR="003D06E1">
              <w:t xml:space="preserve"> </w:t>
            </w:r>
            <w:r w:rsidR="00955395">
              <w:t xml:space="preserve">and </w:t>
            </w:r>
            <w:r w:rsidR="00955395" w:rsidRPr="00955395">
              <w:t xml:space="preserve">Dr. Jairo Palomares </w:t>
            </w:r>
          </w:p>
        </w:tc>
      </w:tr>
      <w:tr w:rsidR="00D42C87" w:rsidRPr="00EC6FC5" w14:paraId="6FFCF621" w14:textId="77777777" w:rsidTr="00420991">
        <w:trPr>
          <w:trHeight w:val="476"/>
          <w:jc w:val="center"/>
        </w:trPr>
        <w:tc>
          <w:tcPr>
            <w:tcW w:w="1599" w:type="dxa"/>
          </w:tcPr>
          <w:p w14:paraId="2F5450F5" w14:textId="1FCED7B6" w:rsidR="00D42C87" w:rsidRDefault="00952DF5" w:rsidP="00D42C87">
            <w:r>
              <w:t>10</w:t>
            </w:r>
            <w:r w:rsidR="002A580E">
              <w:t>:</w:t>
            </w:r>
            <w:r w:rsidR="00ED36CE">
              <w:t>4</w:t>
            </w:r>
            <w:r w:rsidR="002A580E">
              <w:t>0-</w:t>
            </w:r>
          </w:p>
          <w:p w14:paraId="43697C6A" w14:textId="4726BD68" w:rsidR="00A87AC8" w:rsidRPr="00EC6FC5" w:rsidRDefault="00A87AC8" w:rsidP="00D42C87">
            <w:r>
              <w:t>11:</w:t>
            </w:r>
            <w:r w:rsidR="00ED36CE">
              <w:t>00</w:t>
            </w:r>
            <w:r>
              <w:t>am</w:t>
            </w:r>
          </w:p>
        </w:tc>
        <w:tc>
          <w:tcPr>
            <w:tcW w:w="4596" w:type="dxa"/>
          </w:tcPr>
          <w:p w14:paraId="40D6CEF1" w14:textId="048F9169" w:rsidR="00D42C87" w:rsidRPr="00EC6FC5" w:rsidRDefault="00A96748" w:rsidP="008301B0">
            <w:pPr>
              <w:jc w:val="center"/>
            </w:pPr>
            <w:r w:rsidRPr="00A96748">
              <w:t xml:space="preserve">Trade and </w:t>
            </w:r>
            <w:r w:rsidR="009432FB" w:rsidRPr="00A96748">
              <w:t>Tariff</w:t>
            </w:r>
            <w:r w:rsidRPr="00A96748">
              <w:t xml:space="preserve"> Impact on Equine Industry</w:t>
            </w:r>
          </w:p>
        </w:tc>
        <w:tc>
          <w:tcPr>
            <w:tcW w:w="3155" w:type="dxa"/>
          </w:tcPr>
          <w:p w14:paraId="0BCDC4A0" w14:textId="12DDAFC8" w:rsidR="00D42C87" w:rsidRPr="00EC6FC5" w:rsidRDefault="000725B3" w:rsidP="00D42C87">
            <w:r>
              <w:t xml:space="preserve">Emily Sterns </w:t>
            </w:r>
          </w:p>
        </w:tc>
      </w:tr>
      <w:tr w:rsidR="00D42C87" w:rsidRPr="00EC6FC5" w14:paraId="54F3F687" w14:textId="77777777" w:rsidTr="00F049B7">
        <w:trPr>
          <w:trHeight w:val="440"/>
          <w:jc w:val="center"/>
        </w:trPr>
        <w:tc>
          <w:tcPr>
            <w:tcW w:w="1599" w:type="dxa"/>
          </w:tcPr>
          <w:p w14:paraId="2A37B1D6" w14:textId="6E1ED049" w:rsidR="00ED36CE" w:rsidRDefault="000974EA" w:rsidP="00D42C87">
            <w:r>
              <w:t>1</w:t>
            </w:r>
            <w:r w:rsidR="009545B1">
              <w:t>1</w:t>
            </w:r>
            <w:r w:rsidR="00ED36CE">
              <w:t>:00</w:t>
            </w:r>
            <w:r w:rsidR="009545B1">
              <w:t>-</w:t>
            </w:r>
          </w:p>
          <w:p w14:paraId="567B3F2E" w14:textId="440C62D1" w:rsidR="00D42C87" w:rsidRPr="00EC6FC5" w:rsidRDefault="009545B1" w:rsidP="00D42C87">
            <w:r>
              <w:t>11:10am</w:t>
            </w:r>
          </w:p>
        </w:tc>
        <w:tc>
          <w:tcPr>
            <w:tcW w:w="4596" w:type="dxa"/>
          </w:tcPr>
          <w:p w14:paraId="5133B6D4" w14:textId="16B3157E" w:rsidR="00D42C87" w:rsidRPr="00EC6FC5" w:rsidRDefault="00D42C87" w:rsidP="00D42C87">
            <w:pPr>
              <w:jc w:val="center"/>
            </w:pPr>
            <w:r>
              <w:t>Contagious Equine Metritis Response</w:t>
            </w:r>
            <w:r w:rsidR="00495F4D">
              <w:t xml:space="preserve"> and</w:t>
            </w:r>
            <w:r>
              <w:t xml:space="preserve"> EIA</w:t>
            </w:r>
            <w:r w:rsidR="00ED1109">
              <w:t>/EP</w:t>
            </w:r>
            <w:r>
              <w:t xml:space="preserve"> Outbreak</w:t>
            </w:r>
            <w:r w:rsidR="000974EA">
              <w:t xml:space="preserve"> Update</w:t>
            </w:r>
          </w:p>
        </w:tc>
        <w:tc>
          <w:tcPr>
            <w:tcW w:w="3155" w:type="dxa"/>
          </w:tcPr>
          <w:p w14:paraId="47F9CB2A" w14:textId="47E48428" w:rsidR="00D42C87" w:rsidRPr="00EC6FC5" w:rsidRDefault="00ED1109" w:rsidP="00D42C87">
            <w:r>
              <w:t xml:space="preserve">Dr. </w:t>
            </w:r>
            <w:r w:rsidR="000B1214">
              <w:t>Beth Ruby</w:t>
            </w:r>
          </w:p>
        </w:tc>
      </w:tr>
      <w:tr w:rsidR="00D42C87" w:rsidRPr="00EC6FC5" w14:paraId="4503F276" w14:textId="77777777" w:rsidTr="00F049B7">
        <w:trPr>
          <w:trHeight w:val="440"/>
          <w:jc w:val="center"/>
        </w:trPr>
        <w:tc>
          <w:tcPr>
            <w:tcW w:w="1599" w:type="dxa"/>
          </w:tcPr>
          <w:p w14:paraId="5B0F722B" w14:textId="77777777" w:rsidR="00D42C87" w:rsidRDefault="004A0D3E" w:rsidP="00D42C87">
            <w:r>
              <w:t>1</w:t>
            </w:r>
            <w:r w:rsidR="009545B1">
              <w:t>1:10-</w:t>
            </w:r>
          </w:p>
          <w:p w14:paraId="7C2B25D6" w14:textId="1635BF8D" w:rsidR="009545B1" w:rsidRDefault="009545B1" w:rsidP="00D42C87">
            <w:r>
              <w:t>11:20am</w:t>
            </w:r>
          </w:p>
        </w:tc>
        <w:tc>
          <w:tcPr>
            <w:tcW w:w="4596" w:type="dxa"/>
          </w:tcPr>
          <w:p w14:paraId="1E576D38" w14:textId="01D69CFC" w:rsidR="00D42C87" w:rsidRDefault="00FC0F08" w:rsidP="00D42C87">
            <w:pPr>
              <w:jc w:val="center"/>
            </w:pPr>
            <w:r w:rsidRPr="00FC0F08">
              <w:t xml:space="preserve">NAHMS </w:t>
            </w:r>
            <w:r w:rsidR="008301B0">
              <w:t>S</w:t>
            </w:r>
            <w:r w:rsidRPr="00FC0F08">
              <w:t xml:space="preserve">tudy </w:t>
            </w:r>
            <w:r w:rsidR="008301B0">
              <w:t>U</w:t>
            </w:r>
            <w:r w:rsidRPr="00FC0F08">
              <w:t>pdate</w:t>
            </w:r>
          </w:p>
        </w:tc>
        <w:tc>
          <w:tcPr>
            <w:tcW w:w="3155" w:type="dxa"/>
          </w:tcPr>
          <w:p w14:paraId="1B05B52B" w14:textId="461FAA9A" w:rsidR="00D42C87" w:rsidRDefault="000725B3" w:rsidP="00D42C87">
            <w:r>
              <w:t xml:space="preserve">Dr. </w:t>
            </w:r>
            <w:r w:rsidR="002F118E">
              <w:t>Andrea Beam</w:t>
            </w:r>
            <w:r w:rsidR="007E3656">
              <w:t xml:space="preserve"> </w:t>
            </w:r>
          </w:p>
        </w:tc>
      </w:tr>
      <w:tr w:rsidR="00A208E6" w:rsidRPr="00EC6FC5" w14:paraId="6C1A0EDE" w14:textId="77777777" w:rsidTr="00F049B7">
        <w:trPr>
          <w:trHeight w:val="440"/>
          <w:jc w:val="center"/>
        </w:trPr>
        <w:tc>
          <w:tcPr>
            <w:tcW w:w="1599" w:type="dxa"/>
          </w:tcPr>
          <w:p w14:paraId="18B470F7" w14:textId="57B6DFB2" w:rsidR="00A208E6" w:rsidRDefault="00A43B38" w:rsidP="00D42C87">
            <w:r>
              <w:t>1</w:t>
            </w:r>
            <w:r w:rsidR="004D3BF9">
              <w:t>1:20- 11:35am</w:t>
            </w:r>
          </w:p>
        </w:tc>
        <w:tc>
          <w:tcPr>
            <w:tcW w:w="4596" w:type="dxa"/>
          </w:tcPr>
          <w:p w14:paraId="5D5E7764" w14:textId="3EC81807" w:rsidR="00A208E6" w:rsidRDefault="00072825" w:rsidP="00D42C87">
            <w:pPr>
              <w:jc w:val="center"/>
            </w:pPr>
            <w:r>
              <w:t xml:space="preserve">Fluxergy </w:t>
            </w:r>
            <w:r w:rsidR="007D740D">
              <w:t>USDA Approval Update</w:t>
            </w:r>
          </w:p>
        </w:tc>
        <w:tc>
          <w:tcPr>
            <w:tcW w:w="3155" w:type="dxa"/>
          </w:tcPr>
          <w:p w14:paraId="0C1711FF" w14:textId="1F4923BA" w:rsidR="00A208E6" w:rsidRDefault="00A43B38" w:rsidP="00D42C87">
            <w:r>
              <w:t>Nick Tran</w:t>
            </w:r>
          </w:p>
        </w:tc>
      </w:tr>
      <w:tr w:rsidR="00D42C87" w:rsidRPr="00EC6FC5" w14:paraId="169A9C0E" w14:textId="77777777" w:rsidTr="00F049B7">
        <w:trPr>
          <w:trHeight w:val="440"/>
          <w:jc w:val="center"/>
        </w:trPr>
        <w:tc>
          <w:tcPr>
            <w:tcW w:w="1599" w:type="dxa"/>
          </w:tcPr>
          <w:p w14:paraId="47D8E20B" w14:textId="6AF0B460" w:rsidR="00D42C87" w:rsidRDefault="00234961" w:rsidP="00D42C87">
            <w:r>
              <w:t>11:35-11:50am</w:t>
            </w:r>
          </w:p>
        </w:tc>
        <w:tc>
          <w:tcPr>
            <w:tcW w:w="4596" w:type="dxa"/>
          </w:tcPr>
          <w:p w14:paraId="666496FC" w14:textId="40633C6A" w:rsidR="00D42C87" w:rsidRPr="00F049B7" w:rsidRDefault="00D42C87" w:rsidP="00D42C87">
            <w:pPr>
              <w:jc w:val="center"/>
            </w:pPr>
            <w:r>
              <w:t xml:space="preserve">High Health High Performance </w:t>
            </w:r>
            <w:r w:rsidR="009F4259" w:rsidRPr="009F4259">
              <w:t xml:space="preserve">Legislative </w:t>
            </w:r>
            <w:r w:rsidR="006B633D">
              <w:t>I</w:t>
            </w:r>
            <w:r w:rsidR="009F4259" w:rsidRPr="009F4259">
              <w:t xml:space="preserve">nitiative and </w:t>
            </w:r>
            <w:r w:rsidR="006B633D">
              <w:t>r</w:t>
            </w:r>
            <w:r w:rsidR="009F4259" w:rsidRPr="009F4259">
              <w:t xml:space="preserve">isk </w:t>
            </w:r>
            <w:r w:rsidR="006B633D">
              <w:t>A</w:t>
            </w:r>
            <w:r w:rsidR="009F4259" w:rsidRPr="009F4259">
              <w:t>ssessment</w:t>
            </w:r>
          </w:p>
        </w:tc>
        <w:tc>
          <w:tcPr>
            <w:tcW w:w="3155" w:type="dxa"/>
          </w:tcPr>
          <w:p w14:paraId="3C013D54" w14:textId="30D7A306" w:rsidR="00D42C87" w:rsidRDefault="00D42C87" w:rsidP="00D42C87">
            <w:r>
              <w:t xml:space="preserve">Dr. Katie Flynn </w:t>
            </w:r>
          </w:p>
        </w:tc>
      </w:tr>
      <w:tr w:rsidR="00D42C87" w:rsidRPr="00EC6FC5" w14:paraId="12624B1C" w14:textId="77777777" w:rsidTr="00F049B7">
        <w:trPr>
          <w:trHeight w:val="233"/>
          <w:jc w:val="center"/>
        </w:trPr>
        <w:tc>
          <w:tcPr>
            <w:tcW w:w="1599" w:type="dxa"/>
          </w:tcPr>
          <w:p w14:paraId="1BEAE85F" w14:textId="30321E3A" w:rsidR="00D42C87" w:rsidRDefault="00D42C87" w:rsidP="00D42C87">
            <w:r>
              <w:t>11:50</w:t>
            </w:r>
            <w:r w:rsidR="004D3BF9">
              <w:t>am</w:t>
            </w:r>
            <w:r>
              <w:t xml:space="preserve">- </w:t>
            </w:r>
          </w:p>
          <w:p w14:paraId="69E69D02" w14:textId="1DE14F38" w:rsidR="00D42C87" w:rsidRPr="00EC6FC5" w:rsidRDefault="00D42C87" w:rsidP="00D42C87">
            <w:r>
              <w:t>12:15pm</w:t>
            </w:r>
          </w:p>
        </w:tc>
        <w:tc>
          <w:tcPr>
            <w:tcW w:w="4596" w:type="dxa"/>
          </w:tcPr>
          <w:p w14:paraId="4F223FC0" w14:textId="7FDB672C" w:rsidR="00D42C87" w:rsidRPr="00734A86" w:rsidRDefault="00D42C87" w:rsidP="00D42C87">
            <w:pPr>
              <w:jc w:val="center"/>
            </w:pPr>
            <w:r>
              <w:t>Business Session - Resolutions Review</w:t>
            </w:r>
            <w:r w:rsidR="000C4668">
              <w:t xml:space="preserve"> </w:t>
            </w:r>
            <w:r>
              <w:t>and Charter</w:t>
            </w:r>
          </w:p>
        </w:tc>
        <w:tc>
          <w:tcPr>
            <w:tcW w:w="3155" w:type="dxa"/>
          </w:tcPr>
          <w:p w14:paraId="6FF48369" w14:textId="3E33CE74" w:rsidR="00D42C87" w:rsidRPr="00EC6FC5" w:rsidRDefault="00D42C87" w:rsidP="00D42C87">
            <w:r>
              <w:t>Dr. Fisch &amp; Dr. Odian</w:t>
            </w:r>
          </w:p>
        </w:tc>
      </w:tr>
      <w:tr w:rsidR="00D42C87" w:rsidRPr="00EC6FC5" w14:paraId="62668AE1" w14:textId="77777777" w:rsidTr="00F049B7">
        <w:trPr>
          <w:jc w:val="center"/>
        </w:trPr>
        <w:tc>
          <w:tcPr>
            <w:tcW w:w="1599" w:type="dxa"/>
          </w:tcPr>
          <w:p w14:paraId="2E4584F1" w14:textId="520685A0" w:rsidR="00D42C87" w:rsidRPr="00EC6FC5" w:rsidRDefault="00D42C87" w:rsidP="00D42C87">
            <w:r>
              <w:t>12:15pm</w:t>
            </w:r>
          </w:p>
        </w:tc>
        <w:tc>
          <w:tcPr>
            <w:tcW w:w="4596" w:type="dxa"/>
          </w:tcPr>
          <w:p w14:paraId="3C09DA9B" w14:textId="3648C32C" w:rsidR="00D42C87" w:rsidRPr="00EC6FC5" w:rsidRDefault="00D42C87" w:rsidP="00D42C87">
            <w:pPr>
              <w:jc w:val="center"/>
            </w:pPr>
            <w:r>
              <w:t>Closing</w:t>
            </w:r>
          </w:p>
        </w:tc>
        <w:tc>
          <w:tcPr>
            <w:tcW w:w="3155" w:type="dxa"/>
          </w:tcPr>
          <w:p w14:paraId="611449F8" w14:textId="20743B30" w:rsidR="00D42C87" w:rsidRPr="00EC6FC5" w:rsidRDefault="00D42C87" w:rsidP="00D42C87"/>
        </w:tc>
      </w:tr>
      <w:bookmarkEnd w:id="0"/>
    </w:tbl>
    <w:p w14:paraId="31B8D988" w14:textId="77777777" w:rsidR="00E40F00" w:rsidRDefault="00E40F00" w:rsidP="00EC6FC5"/>
    <w:p w14:paraId="260755AA" w14:textId="77777777" w:rsidR="008B47DF" w:rsidRDefault="008B47DF" w:rsidP="00EC6FC5"/>
    <w:p w14:paraId="44F27365" w14:textId="61356C73" w:rsidR="008B47DF" w:rsidRPr="00A87F4B" w:rsidRDefault="008B47DF" w:rsidP="008B47DF">
      <w:pPr>
        <w:rPr>
          <w:rFonts w:asciiTheme="minorHAnsi" w:hAnsiTheme="minorHAnsi" w:cstheme="minorHAnsi"/>
        </w:rPr>
      </w:pPr>
      <w:r w:rsidRPr="00A87F4B">
        <w:rPr>
          <w:rFonts w:asciiTheme="minorHAnsi" w:hAnsiTheme="minorHAnsi" w:cstheme="minorHAnsi"/>
          <w:b/>
          <w:bCs/>
        </w:rPr>
        <w:t xml:space="preserve">CSU Modeling Final Report on the Premises Mapping Project </w:t>
      </w:r>
      <w:r w:rsidRPr="00A87F4B">
        <w:rPr>
          <w:rFonts w:asciiTheme="minorHAnsi" w:hAnsiTheme="minorHAnsi" w:cstheme="minorHAnsi"/>
        </w:rPr>
        <w:t>by Jairo Palomares, DVM, MSc, PhD, and Sangeeta Rao, BVSc, MVSc, PhD</w:t>
      </w:r>
      <w:r w:rsidR="00C83561" w:rsidRPr="00A87F4B">
        <w:rPr>
          <w:rFonts w:asciiTheme="minorHAnsi" w:hAnsiTheme="minorHAnsi" w:cstheme="minorHAnsi"/>
        </w:rPr>
        <w:t xml:space="preserve"> </w:t>
      </w:r>
      <w:r w:rsidRPr="00A87F4B">
        <w:rPr>
          <w:rFonts w:asciiTheme="minorHAnsi" w:hAnsiTheme="minorHAnsi" w:cstheme="minorHAnsi"/>
        </w:rPr>
        <w:t>College of Veterinary Medicine and Biomedical Sciences, Colorado State University</w:t>
      </w:r>
    </w:p>
    <w:p w14:paraId="2441CC00" w14:textId="77777777" w:rsidR="008B47DF" w:rsidRPr="00A87F4B" w:rsidRDefault="008B47DF" w:rsidP="008B47DF">
      <w:pPr>
        <w:rPr>
          <w:rFonts w:asciiTheme="minorHAnsi" w:hAnsiTheme="minorHAnsi" w:cstheme="minorHAnsi"/>
        </w:rPr>
      </w:pPr>
    </w:p>
    <w:p w14:paraId="5A71240B" w14:textId="77777777" w:rsidR="00B677A8" w:rsidRPr="00A87F4B" w:rsidRDefault="00B677A8" w:rsidP="00B677A8">
      <w:pPr>
        <w:rPr>
          <w:rFonts w:asciiTheme="minorHAnsi" w:hAnsiTheme="minorHAnsi" w:cstheme="minorHAnsi"/>
        </w:rPr>
      </w:pPr>
      <w:r w:rsidRPr="00A87F4B">
        <w:rPr>
          <w:rFonts w:asciiTheme="minorHAnsi" w:hAnsiTheme="minorHAnsi" w:cstheme="minorHAnsi"/>
        </w:rPr>
        <w:t>The project aims to complete a comprehensive national dataset of equine operation locations and population distributions, addressing a critical gap in the United States’ capacity to prepare for and respond to equine disease emergencies. Accurate location and size information of equine operations is essential for disease surveillance, outbreak response, and emergency preparedness. However, existing sources provide incomplete or aggregated information, particularly for small and non-commercial equine operations.</w:t>
      </w:r>
    </w:p>
    <w:p w14:paraId="3FA43924" w14:textId="77777777" w:rsidR="00946289" w:rsidRDefault="00946289" w:rsidP="00B677A8">
      <w:pPr>
        <w:rPr>
          <w:rFonts w:asciiTheme="minorHAnsi" w:hAnsiTheme="minorHAnsi" w:cstheme="minorHAnsi"/>
        </w:rPr>
      </w:pPr>
    </w:p>
    <w:p w14:paraId="41809B7A" w14:textId="637FF9EF" w:rsidR="00B677A8" w:rsidRPr="00A87F4B" w:rsidRDefault="00B677A8" w:rsidP="00B677A8">
      <w:pPr>
        <w:rPr>
          <w:rFonts w:asciiTheme="minorHAnsi" w:hAnsiTheme="minorHAnsi" w:cstheme="minorHAnsi"/>
        </w:rPr>
      </w:pPr>
      <w:r w:rsidRPr="00A87F4B">
        <w:rPr>
          <w:rFonts w:asciiTheme="minorHAnsi" w:hAnsiTheme="minorHAnsi" w:cstheme="minorHAnsi"/>
        </w:rPr>
        <w:t>The project combines two complementary approaches: geospatial artificial intelligence (GeoAI) and statistical suitability modeling. GeoAI identifies candidate equine operations through automated detection of equine-associated infrastructure in high-resolution aerial imagery, while statistical modeling models the probability of the presence of an equine operation on a delimited area.</w:t>
      </w:r>
    </w:p>
    <w:p w14:paraId="7DD97D38" w14:textId="77777777" w:rsidR="00B677A8" w:rsidRPr="00A87F4B" w:rsidRDefault="00B677A8" w:rsidP="00B677A8">
      <w:pPr>
        <w:rPr>
          <w:rFonts w:asciiTheme="minorHAnsi" w:hAnsiTheme="minorHAnsi" w:cstheme="minorHAnsi"/>
        </w:rPr>
      </w:pPr>
      <w:r w:rsidRPr="00A87F4B">
        <w:rPr>
          <w:rFonts w:asciiTheme="minorHAnsi" w:hAnsiTheme="minorHAnsi" w:cstheme="minorHAnsi"/>
        </w:rPr>
        <w:t>GeoAI processing is ongoing, with approximately 50% of the targeted geographic coverage completed. Statistical suitability was modeled using environmental, demographic, and infrastructure covariates to generate probability surfaces guiding the synthetic placement of equine operations. Population estimation incorporated NASS data and probabilistic adjustments elicited from Subject Matter Experts (SMEs) for underrepresented equine populations.</w:t>
      </w:r>
    </w:p>
    <w:p w14:paraId="606C8E2D" w14:textId="77777777" w:rsidR="00946289" w:rsidRDefault="00946289" w:rsidP="00B677A8">
      <w:pPr>
        <w:rPr>
          <w:rFonts w:asciiTheme="minorHAnsi" w:hAnsiTheme="minorHAnsi" w:cstheme="minorHAnsi"/>
        </w:rPr>
      </w:pPr>
    </w:p>
    <w:p w14:paraId="1BA5CEBF" w14:textId="1A30E276" w:rsidR="00B677A8" w:rsidRPr="00A87F4B" w:rsidRDefault="00B677A8" w:rsidP="00B677A8">
      <w:pPr>
        <w:rPr>
          <w:rFonts w:asciiTheme="minorHAnsi" w:hAnsiTheme="minorHAnsi" w:cstheme="minorHAnsi"/>
        </w:rPr>
      </w:pPr>
      <w:r w:rsidRPr="00A87F4B">
        <w:rPr>
          <w:rFonts w:asciiTheme="minorHAnsi" w:hAnsiTheme="minorHAnsi" w:cstheme="minorHAnsi"/>
        </w:rPr>
        <w:lastRenderedPageBreak/>
        <w:t>National estimates are 1.83 million equine operations (CrI 95%: 0.86 –2.93) and 11.22 million horses (CrI 95%: 6.00 – 22.71); these estimates represent about 3.93:1 and 3.67 underrepresented to NASS-records ratios for equine operations and horses respectively. Small operations accounted for the largest estimated number of underrepresented operations (1.18 million), followed by medium (219,000) and large operations (66,000). Uncertainty was substantial, particularly among small operations, reflecting limitations in available population information.</w:t>
      </w:r>
    </w:p>
    <w:p w14:paraId="25ED97F3" w14:textId="77777777" w:rsidR="00946289" w:rsidRDefault="00946289" w:rsidP="00B677A8">
      <w:pPr>
        <w:rPr>
          <w:rFonts w:asciiTheme="minorHAnsi" w:hAnsiTheme="minorHAnsi" w:cstheme="minorHAnsi"/>
        </w:rPr>
      </w:pPr>
    </w:p>
    <w:p w14:paraId="42F94389" w14:textId="3F972EDD" w:rsidR="00B677A8" w:rsidRPr="00A87F4B" w:rsidRDefault="00B677A8" w:rsidP="00B677A8">
      <w:pPr>
        <w:rPr>
          <w:rFonts w:asciiTheme="minorHAnsi" w:hAnsiTheme="minorHAnsi" w:cstheme="minorHAnsi"/>
        </w:rPr>
      </w:pPr>
      <w:r w:rsidRPr="00A87F4B">
        <w:rPr>
          <w:rFonts w:asciiTheme="minorHAnsi" w:hAnsiTheme="minorHAnsi" w:cstheme="minorHAnsi"/>
        </w:rPr>
        <w:t>Preliminary validation has also been conducted using independent spatial indicators and comparisons with GeoAI-detected operations. Equine practitioner density correlates with the suitability probability, supporting the model’s ability to identify areas associated with equine activity. Comparisons with GeoAI detections show positive spatial correlations in many states, although their strength varies geographically. Additional comparisons between estimated operation totals and GeoAI detections provide preliminary evidence of agreement between the complementary modeling approaches.</w:t>
      </w:r>
    </w:p>
    <w:p w14:paraId="6FA0C9EA" w14:textId="77777777" w:rsidR="00B677A8" w:rsidRPr="00A87F4B" w:rsidRDefault="00B677A8" w:rsidP="00B677A8">
      <w:pPr>
        <w:rPr>
          <w:rFonts w:asciiTheme="minorHAnsi" w:hAnsiTheme="minorHAnsi" w:cstheme="minorHAnsi"/>
        </w:rPr>
      </w:pPr>
      <w:r w:rsidRPr="00A87F4B">
        <w:rPr>
          <w:rFonts w:asciiTheme="minorHAnsi" w:hAnsiTheme="minorHAnsi" w:cstheme="minorHAnsi"/>
        </w:rPr>
        <w:t>These advances establish a foundation for national-scale equine population modeling to support disease transmission analyses, surveillance planning, and emergency resource allocation. Next steps include strengthening validation with independent reference data, refining regional predictions, integrating GeoAI and statistical outputs.</w:t>
      </w:r>
    </w:p>
    <w:p w14:paraId="6EEE71FA" w14:textId="77777777" w:rsidR="008B47DF" w:rsidRPr="00A87F4B" w:rsidRDefault="008B47DF" w:rsidP="008B47DF">
      <w:pPr>
        <w:rPr>
          <w:rFonts w:asciiTheme="minorHAnsi" w:hAnsiTheme="minorHAnsi" w:cstheme="minorHAnsi"/>
        </w:rPr>
      </w:pPr>
    </w:p>
    <w:p w14:paraId="4C9783DF" w14:textId="03C28B37" w:rsidR="008B47DF" w:rsidRPr="00A87F4B" w:rsidRDefault="00C83561" w:rsidP="008B47DF">
      <w:pPr>
        <w:rPr>
          <w:rFonts w:asciiTheme="minorHAnsi" w:hAnsiTheme="minorHAnsi" w:cstheme="minorHAnsi"/>
        </w:rPr>
      </w:pPr>
      <w:r w:rsidRPr="00A87F4B">
        <w:rPr>
          <w:rFonts w:asciiTheme="minorHAnsi" w:hAnsiTheme="minorHAnsi" w:cstheme="minorHAnsi"/>
          <w:b/>
          <w:bCs/>
        </w:rPr>
        <w:t>Trade and Tariff Impact on Equine Industry</w:t>
      </w:r>
      <w:r w:rsidR="008B47DF" w:rsidRPr="00A87F4B">
        <w:rPr>
          <w:rFonts w:asciiTheme="minorHAnsi" w:hAnsiTheme="minorHAnsi" w:cstheme="minorHAnsi"/>
          <w:b/>
          <w:bCs/>
        </w:rPr>
        <w:t xml:space="preserve"> </w:t>
      </w:r>
      <w:r w:rsidR="008B47DF" w:rsidRPr="00A87F4B">
        <w:rPr>
          <w:rFonts w:asciiTheme="minorHAnsi" w:hAnsiTheme="minorHAnsi" w:cstheme="minorHAnsi"/>
        </w:rPr>
        <w:t xml:space="preserve">by </w:t>
      </w:r>
      <w:r w:rsidRPr="00A87F4B">
        <w:rPr>
          <w:rFonts w:asciiTheme="minorHAnsi" w:hAnsiTheme="minorHAnsi" w:cstheme="minorHAnsi"/>
        </w:rPr>
        <w:t>Emily Sterns</w:t>
      </w:r>
      <w:r w:rsidR="008B47DF" w:rsidRPr="00A87F4B">
        <w:rPr>
          <w:rFonts w:asciiTheme="minorHAnsi" w:hAnsiTheme="minorHAnsi" w:cstheme="minorHAnsi"/>
        </w:rPr>
        <w:t xml:space="preserve">, </w:t>
      </w:r>
      <w:r w:rsidRPr="00A87F4B">
        <w:rPr>
          <w:rFonts w:asciiTheme="minorHAnsi" w:hAnsiTheme="minorHAnsi" w:cstheme="minorHAnsi"/>
        </w:rPr>
        <w:t xml:space="preserve">American Horse Counsil </w:t>
      </w:r>
    </w:p>
    <w:p w14:paraId="6BAAEC2F" w14:textId="77777777" w:rsidR="008B47DF" w:rsidRPr="00A87F4B" w:rsidRDefault="008B47DF" w:rsidP="008B47DF">
      <w:pPr>
        <w:rPr>
          <w:rFonts w:asciiTheme="minorHAnsi" w:hAnsiTheme="minorHAnsi" w:cstheme="minorHAnsi"/>
        </w:rPr>
      </w:pPr>
    </w:p>
    <w:p w14:paraId="6E3F428C" w14:textId="77777777" w:rsidR="007C2E36" w:rsidRPr="007C2E36" w:rsidRDefault="007C2E36" w:rsidP="007C2E36">
      <w:pPr>
        <w:rPr>
          <w:rFonts w:asciiTheme="minorHAnsi" w:hAnsiTheme="minorHAnsi" w:cstheme="minorHAnsi"/>
          <w:sz w:val="24"/>
          <w:szCs w:val="24"/>
        </w:rPr>
      </w:pPr>
      <w:r w:rsidRPr="007C2E36">
        <w:rPr>
          <w:rFonts w:asciiTheme="minorHAnsi" w:hAnsiTheme="minorHAnsi" w:cstheme="minorHAnsi"/>
        </w:rPr>
        <w:t xml:space="preserve">Over the last 18 months US tariff and trade policy has experienced extreme fluctuations in regulatory changes. Historically the horse industry has been relatively free from tariffs for live horses and many agricultural products. However, this has changed since the new administration took over.  Sweeping tariff policies have impacted costs across all aspects of the US horse industry. The US horse industry has become increasingly more globalized throughout the years. Tens of thousands of live horses along with hundreds of millions of dollars of products across all sectors of the industry are imported annually. Costs of these products have outpaced national inflation rates over the last two years with some products increasing in costs over 50%. </w:t>
      </w:r>
    </w:p>
    <w:p w14:paraId="0BE8E0FC" w14:textId="77777777" w:rsidR="007C2E36" w:rsidRPr="007C2E36" w:rsidRDefault="007C2E36" w:rsidP="007C2E36">
      <w:pPr>
        <w:rPr>
          <w:rFonts w:asciiTheme="minorHAnsi" w:hAnsiTheme="minorHAnsi" w:cstheme="minorHAnsi"/>
        </w:rPr>
      </w:pPr>
    </w:p>
    <w:p w14:paraId="000BDB39" w14:textId="77777777" w:rsidR="007C2E36" w:rsidRPr="007C2E36" w:rsidRDefault="007C2E36" w:rsidP="007C2E36">
      <w:pPr>
        <w:rPr>
          <w:rFonts w:asciiTheme="minorHAnsi" w:hAnsiTheme="minorHAnsi" w:cstheme="minorHAnsi"/>
        </w:rPr>
      </w:pPr>
      <w:r w:rsidRPr="007C2E36">
        <w:rPr>
          <w:rFonts w:asciiTheme="minorHAnsi" w:hAnsiTheme="minorHAnsi" w:cstheme="minorHAnsi"/>
        </w:rPr>
        <w:t xml:space="preserve">Regulatory uncertainty creates lasting supply and demand impacts that keep prices high. Once prices increase and customers purchase items at increased prices they are unlikely to return to lower cost points even if regulation is rolled back. This “price stickiness” has the potential to increase overall costs for horse industry enthusiasts and create downstream industry depression reflected in decreased spending, including potential drops in horse sales and breeding. </w:t>
      </w:r>
    </w:p>
    <w:p w14:paraId="61E5CB9C" w14:textId="77777777" w:rsidR="007C2E36" w:rsidRPr="007C2E36" w:rsidRDefault="007C2E36" w:rsidP="007C2E36">
      <w:pPr>
        <w:rPr>
          <w:rFonts w:asciiTheme="minorHAnsi" w:hAnsiTheme="minorHAnsi" w:cstheme="minorHAnsi"/>
        </w:rPr>
      </w:pPr>
    </w:p>
    <w:p w14:paraId="47C0F877" w14:textId="77777777" w:rsidR="007C2E36" w:rsidRPr="007C2E36" w:rsidRDefault="007C2E36" w:rsidP="007C2E36">
      <w:pPr>
        <w:rPr>
          <w:rFonts w:asciiTheme="minorHAnsi" w:hAnsiTheme="minorHAnsi" w:cstheme="minorHAnsi"/>
        </w:rPr>
      </w:pPr>
      <w:r w:rsidRPr="007C2E36">
        <w:rPr>
          <w:rFonts w:asciiTheme="minorHAnsi" w:hAnsiTheme="minorHAnsi" w:cstheme="minorHAnsi"/>
        </w:rPr>
        <w:t xml:space="preserve">A long term economic review of tariff policy the last 20 years demonstrates that current imports of equine associated products are now below other historic financial points such as the COVID-19 pandemic in 2020 and beginning to approach levels more associated with the 2008 financial crisis. </w:t>
      </w:r>
    </w:p>
    <w:p w14:paraId="5108B7B5" w14:textId="77777777" w:rsidR="007C2E36" w:rsidRPr="007C2E36" w:rsidRDefault="007C2E36" w:rsidP="007C2E36">
      <w:pPr>
        <w:rPr>
          <w:rFonts w:asciiTheme="minorHAnsi" w:hAnsiTheme="minorHAnsi" w:cstheme="minorHAnsi"/>
        </w:rPr>
      </w:pPr>
    </w:p>
    <w:p w14:paraId="567C89B9" w14:textId="77777777" w:rsidR="007C2E36" w:rsidRPr="007C2E36" w:rsidRDefault="007C2E36" w:rsidP="007C2E36">
      <w:pPr>
        <w:rPr>
          <w:rFonts w:asciiTheme="minorHAnsi" w:hAnsiTheme="minorHAnsi" w:cstheme="minorHAnsi"/>
        </w:rPr>
      </w:pPr>
      <w:r w:rsidRPr="007C2E36">
        <w:rPr>
          <w:rFonts w:asciiTheme="minorHAnsi" w:hAnsiTheme="minorHAnsi" w:cstheme="minorHAnsi"/>
        </w:rPr>
        <w:t>The Supreme Court has found many of these tariff policies illegal and demanded refunds of duties collected. However, these refunds would go to the importer, not the end-point purchaser. Tariff negotiations, including those related to the US-Mexico-Canada trade agreement (USMCA) are potentially impacting multiple aspects of other federal regulatory policy including USDA equine import/export as global trade negotiations have administration wide impacts on trade policy while governments work to negotiate tariff rates and free trade policy.</w:t>
      </w:r>
    </w:p>
    <w:p w14:paraId="02BC586D" w14:textId="77777777" w:rsidR="007C2E36" w:rsidRPr="007C2E36" w:rsidRDefault="007C2E36" w:rsidP="007C2E36">
      <w:pPr>
        <w:rPr>
          <w:rFonts w:asciiTheme="minorHAnsi" w:hAnsiTheme="minorHAnsi" w:cstheme="minorHAnsi"/>
        </w:rPr>
      </w:pPr>
    </w:p>
    <w:p w14:paraId="1733AFAD" w14:textId="05D9D64B" w:rsidR="008B47DF" w:rsidRPr="007C2E36" w:rsidRDefault="007C2E36" w:rsidP="008B47DF">
      <w:pPr>
        <w:rPr>
          <w:rFonts w:asciiTheme="minorHAnsi" w:hAnsiTheme="minorHAnsi" w:cstheme="minorHAnsi"/>
        </w:rPr>
      </w:pPr>
      <w:r w:rsidRPr="007C2E36">
        <w:rPr>
          <w:rFonts w:asciiTheme="minorHAnsi" w:hAnsiTheme="minorHAnsi" w:cstheme="minorHAnsi"/>
        </w:rPr>
        <w:t xml:space="preserve">The American Horse Council is continuing to work on identifying market impacts and keeping the industry informed of downstream impacts. We are welcoming support for the upcoming 2028 AHC </w:t>
      </w:r>
      <w:r w:rsidRPr="007C2E36">
        <w:rPr>
          <w:rFonts w:asciiTheme="minorHAnsi" w:hAnsiTheme="minorHAnsi" w:cstheme="minorHAnsi"/>
        </w:rPr>
        <w:lastRenderedPageBreak/>
        <w:t xml:space="preserve">Economic Impact Study and encourage any states looking for state level breakouts to reach out to us before the end of December. Please direct all questions to </w:t>
      </w:r>
      <w:hyperlink r:id="rId8" w:history="1">
        <w:r w:rsidRPr="007C2E36">
          <w:rPr>
            <w:rStyle w:val="Hyperlink"/>
            <w:rFonts w:asciiTheme="minorHAnsi" w:hAnsiTheme="minorHAnsi" w:cstheme="minorHAnsi"/>
          </w:rPr>
          <w:t>estearns@horscouncil.org</w:t>
        </w:r>
      </w:hyperlink>
      <w:r w:rsidRPr="007C2E36">
        <w:rPr>
          <w:rFonts w:asciiTheme="minorHAnsi" w:hAnsiTheme="minorHAnsi" w:cstheme="minorHAnsi"/>
        </w:rPr>
        <w:t>.</w:t>
      </w:r>
    </w:p>
    <w:p w14:paraId="34E74934" w14:textId="77777777" w:rsidR="008B47DF" w:rsidRPr="00A87F4B" w:rsidRDefault="008B47DF" w:rsidP="008B47DF">
      <w:pPr>
        <w:rPr>
          <w:rFonts w:asciiTheme="minorHAnsi" w:hAnsiTheme="minorHAnsi" w:cstheme="minorHAnsi"/>
        </w:rPr>
      </w:pPr>
    </w:p>
    <w:p w14:paraId="427DE81E" w14:textId="6A6AAD10" w:rsidR="008B47DF" w:rsidRPr="00A87F4B" w:rsidRDefault="008B47DF" w:rsidP="008B47DF">
      <w:pPr>
        <w:rPr>
          <w:rFonts w:asciiTheme="minorHAnsi" w:hAnsiTheme="minorHAnsi" w:cstheme="minorHAnsi"/>
        </w:rPr>
      </w:pPr>
      <w:r w:rsidRPr="00A87F4B">
        <w:rPr>
          <w:rFonts w:asciiTheme="minorHAnsi" w:hAnsiTheme="minorHAnsi" w:cstheme="minorHAnsi"/>
          <w:b/>
          <w:bCs/>
        </w:rPr>
        <w:t>Contagious Equine Metritis Response, Equine Infectious Anemia</w:t>
      </w:r>
      <w:r w:rsidR="00352CA0" w:rsidRPr="00A87F4B">
        <w:rPr>
          <w:rFonts w:asciiTheme="minorHAnsi" w:hAnsiTheme="minorHAnsi" w:cstheme="minorHAnsi"/>
          <w:b/>
          <w:bCs/>
        </w:rPr>
        <w:t>/Equine Piroplasmosis</w:t>
      </w:r>
      <w:r w:rsidRPr="00A87F4B">
        <w:rPr>
          <w:rFonts w:asciiTheme="minorHAnsi" w:hAnsiTheme="minorHAnsi" w:cstheme="minorHAnsi"/>
          <w:b/>
          <w:bCs/>
        </w:rPr>
        <w:t xml:space="preserve"> Outbreak</w:t>
      </w:r>
      <w:r w:rsidR="00352CA0" w:rsidRPr="00A87F4B">
        <w:rPr>
          <w:rFonts w:asciiTheme="minorHAnsi" w:hAnsiTheme="minorHAnsi" w:cstheme="minorHAnsi"/>
          <w:b/>
          <w:bCs/>
        </w:rPr>
        <w:t xml:space="preserve"> Update</w:t>
      </w:r>
      <w:r w:rsidRPr="00A87F4B">
        <w:rPr>
          <w:rFonts w:asciiTheme="minorHAnsi" w:hAnsiTheme="minorHAnsi" w:cstheme="minorHAnsi"/>
          <w:b/>
          <w:bCs/>
        </w:rPr>
        <w:t xml:space="preserve"> </w:t>
      </w:r>
      <w:r w:rsidRPr="00A87F4B">
        <w:rPr>
          <w:rFonts w:asciiTheme="minorHAnsi" w:hAnsiTheme="minorHAnsi" w:cstheme="minorHAnsi"/>
        </w:rPr>
        <w:t xml:space="preserve">by </w:t>
      </w:r>
      <w:r w:rsidR="00371715" w:rsidRPr="00A87F4B">
        <w:rPr>
          <w:rFonts w:asciiTheme="minorHAnsi" w:hAnsiTheme="minorHAnsi" w:cstheme="minorHAnsi"/>
        </w:rPr>
        <w:t>Beth Ruby</w:t>
      </w:r>
      <w:r w:rsidRPr="00A87F4B">
        <w:rPr>
          <w:rFonts w:asciiTheme="minorHAnsi" w:hAnsiTheme="minorHAnsi" w:cstheme="minorHAnsi"/>
        </w:rPr>
        <w:t xml:space="preserve">, DVM, </w:t>
      </w:r>
      <w:bookmarkStart w:id="1" w:name="_Hlk213059227"/>
      <w:r w:rsidRPr="00A87F4B">
        <w:rPr>
          <w:rFonts w:asciiTheme="minorHAnsi" w:hAnsiTheme="minorHAnsi" w:cstheme="minorHAnsi"/>
        </w:rPr>
        <w:t>USDA-APHIS-Veterinary Services</w:t>
      </w:r>
      <w:bookmarkEnd w:id="1"/>
    </w:p>
    <w:p w14:paraId="67DC1536" w14:textId="77777777" w:rsidR="00592FA9" w:rsidRPr="00C409BF" w:rsidRDefault="00592FA9" w:rsidP="00592FA9">
      <w:pPr>
        <w:pStyle w:val="NormalWeb"/>
        <w:spacing w:line="300" w:lineRule="atLeast"/>
        <w:rPr>
          <w:rFonts w:asciiTheme="minorHAnsi" w:hAnsiTheme="minorHAnsi" w:cstheme="minorHAnsi"/>
          <w:sz w:val="22"/>
          <w:szCs w:val="22"/>
        </w:rPr>
      </w:pPr>
      <w:r w:rsidRPr="00C409BF">
        <w:rPr>
          <w:rFonts w:asciiTheme="minorHAnsi" w:hAnsiTheme="minorHAnsi" w:cstheme="minorHAnsi"/>
          <w:sz w:val="22"/>
          <w:szCs w:val="22"/>
        </w:rPr>
        <w:t xml:space="preserve">An overview of recent outbreaks on three significant equine regulatory diseases: Contagious Equine Metritis (CEM), Equine Infectious Anemia (EIA), and Equine Piroplasmosis (EP) was presented to the Committee. The focus for CEM was the 2024 outbreak in Florida, which began with a positive pony mare and was traced to a stallion on the same premises. The epidemiologic investigation ultimately identified 53 positive horses across multiple farms in six states, with transmission linked to unhygienic sheath-cleaning practices. Notably, evidence suggested the organism had been present on the index premises as early as 2017, affecting a mixed population of ponies, riding horses, and draft geldings. Epidemiologic investigation was concluded and the investigation was closed in January of 2026. Updates have been reported to WOAH to declare disease freedom in the US. </w:t>
      </w:r>
    </w:p>
    <w:p w14:paraId="01269E26" w14:textId="77777777" w:rsidR="00592FA9" w:rsidRPr="00C409BF" w:rsidRDefault="00592FA9" w:rsidP="00592FA9">
      <w:pPr>
        <w:pStyle w:val="NormalWeb"/>
        <w:spacing w:line="300" w:lineRule="atLeast"/>
        <w:rPr>
          <w:rFonts w:asciiTheme="minorHAnsi" w:hAnsiTheme="minorHAnsi" w:cstheme="minorHAnsi"/>
          <w:sz w:val="22"/>
          <w:szCs w:val="22"/>
        </w:rPr>
      </w:pPr>
      <w:r w:rsidRPr="00C409BF">
        <w:rPr>
          <w:rFonts w:asciiTheme="minorHAnsi" w:hAnsiTheme="minorHAnsi" w:cstheme="minorHAnsi"/>
          <w:sz w:val="22"/>
          <w:szCs w:val="22"/>
        </w:rPr>
        <w:t>EIA surveillance data from 2024–2025 showed more than 1.3 million tests conducted annually, with 100 positive horses detected in 2025 across 17 states. Several high</w:t>
      </w:r>
      <w:r w:rsidRPr="00C409BF">
        <w:rPr>
          <w:rFonts w:asciiTheme="minorHAnsi" w:hAnsiTheme="minorHAnsi" w:cstheme="minorHAnsi"/>
          <w:sz w:val="22"/>
          <w:szCs w:val="22"/>
        </w:rPr>
        <w:noBreakHyphen/>
        <w:t>profile, multi-state outbreaks were highlighted, including one involving Racing Quarter Horses in which 25 positives were tied to iatrogenic transmission from contaminated injectable performance enhancing substances. Another outbreak from 2024–2025 was linked to an equine veterinary clinic where shared heparinized saline used for IV catheter flushing resulted in 24 positive horses across four states. These investigations underscored the continued role of iatrogenic spread and high</w:t>
      </w:r>
      <w:r w:rsidRPr="00C409BF">
        <w:rPr>
          <w:rFonts w:asciiTheme="minorHAnsi" w:hAnsiTheme="minorHAnsi" w:cstheme="minorHAnsi"/>
          <w:sz w:val="22"/>
          <w:szCs w:val="22"/>
        </w:rPr>
        <w:noBreakHyphen/>
        <w:t xml:space="preserve">risk environments in EIA epidemiology among Quarter Horse racing populations. </w:t>
      </w:r>
    </w:p>
    <w:p w14:paraId="127F1818" w14:textId="418DD000" w:rsidR="008B47DF" w:rsidRPr="00C409BF" w:rsidRDefault="00592FA9" w:rsidP="00592FA9">
      <w:pPr>
        <w:contextualSpacing/>
        <w:rPr>
          <w:rFonts w:asciiTheme="minorHAnsi" w:hAnsiTheme="minorHAnsi" w:cstheme="minorHAnsi"/>
        </w:rPr>
      </w:pPr>
      <w:r w:rsidRPr="00C409BF">
        <w:rPr>
          <w:rFonts w:asciiTheme="minorHAnsi" w:hAnsiTheme="minorHAnsi" w:cstheme="minorHAnsi"/>
        </w:rPr>
        <w:t xml:space="preserve">EP cases have increased over the past three years, rising from 12 in 2024 to 48 in 2026, predominantly involving </w:t>
      </w:r>
      <w:r w:rsidRPr="00C409BF">
        <w:rPr>
          <w:rStyle w:val="Emphasis"/>
          <w:rFonts w:asciiTheme="minorHAnsi" w:hAnsiTheme="minorHAnsi" w:cstheme="minorHAnsi"/>
        </w:rPr>
        <w:t>Theileria equi</w:t>
      </w:r>
      <w:r w:rsidRPr="00C409BF">
        <w:rPr>
          <w:rFonts w:asciiTheme="minorHAnsi" w:hAnsiTheme="minorHAnsi" w:cstheme="minorHAnsi"/>
        </w:rPr>
        <w:t xml:space="preserve"> infections in Quarter Horse racehorses. Multiple dual EP/EIA infections have been found. While some cases are associated with illegal importation or in utero mare to foal transmission, the majority of cases continue to be iatrogenic spread from unhygienic practices associated with the administration of illicit substances for performance enhancement in Quarter Horse racing populations. Updates on treatment noted continued use of the high</w:t>
      </w:r>
      <w:r w:rsidRPr="00C409BF">
        <w:rPr>
          <w:rFonts w:asciiTheme="minorHAnsi" w:hAnsiTheme="minorHAnsi" w:cstheme="minorHAnsi"/>
        </w:rPr>
        <w:noBreakHyphen/>
        <w:t>dose imidocarb protocol under federal and state oversight, though the drug is currently back</w:t>
      </w:r>
      <w:r w:rsidRPr="00C409BF">
        <w:rPr>
          <w:rFonts w:asciiTheme="minorHAnsi" w:hAnsiTheme="minorHAnsi" w:cstheme="minorHAnsi"/>
        </w:rPr>
        <w:noBreakHyphen/>
        <w:t xml:space="preserve">ordered and some </w:t>
      </w:r>
      <w:r w:rsidRPr="00C409BF">
        <w:rPr>
          <w:rStyle w:val="Emphasis"/>
          <w:rFonts w:asciiTheme="minorHAnsi" w:hAnsiTheme="minorHAnsi" w:cstheme="minorHAnsi"/>
        </w:rPr>
        <w:t>T. equi</w:t>
      </w:r>
      <w:r w:rsidRPr="00C409BF">
        <w:rPr>
          <w:rFonts w:asciiTheme="minorHAnsi" w:hAnsiTheme="minorHAnsi" w:cstheme="minorHAnsi"/>
        </w:rPr>
        <w:t xml:space="preserve"> strains have demonstrated resistance. Despite isolated treatment failures, the majority of treated horses have cleared infection following treatment.</w:t>
      </w:r>
    </w:p>
    <w:p w14:paraId="30CC1714" w14:textId="77777777" w:rsidR="008B47DF" w:rsidRPr="00A87F4B" w:rsidRDefault="008B47DF" w:rsidP="008B47DF">
      <w:pPr>
        <w:rPr>
          <w:rFonts w:asciiTheme="minorHAnsi" w:hAnsiTheme="minorHAnsi" w:cstheme="minorHAnsi"/>
          <w:b/>
          <w:bCs/>
        </w:rPr>
      </w:pPr>
    </w:p>
    <w:p w14:paraId="785F3AA3" w14:textId="11C3BE9A" w:rsidR="00E90330" w:rsidRPr="00A87F4B" w:rsidRDefault="00933806" w:rsidP="008B47DF">
      <w:pPr>
        <w:rPr>
          <w:rFonts w:asciiTheme="minorHAnsi" w:hAnsiTheme="minorHAnsi" w:cstheme="minorHAnsi"/>
        </w:rPr>
      </w:pPr>
      <w:r w:rsidRPr="00A87F4B">
        <w:rPr>
          <w:rFonts w:asciiTheme="minorHAnsi" w:hAnsiTheme="minorHAnsi" w:cstheme="minorHAnsi"/>
          <w:b/>
          <w:bCs/>
        </w:rPr>
        <w:t>National Animal Health Monitoring System (</w:t>
      </w:r>
      <w:r w:rsidR="005158BD" w:rsidRPr="00A87F4B">
        <w:rPr>
          <w:rFonts w:asciiTheme="minorHAnsi" w:hAnsiTheme="minorHAnsi" w:cstheme="minorHAnsi"/>
          <w:b/>
          <w:bCs/>
        </w:rPr>
        <w:t>NAHMS</w:t>
      </w:r>
      <w:r w:rsidRPr="00A87F4B">
        <w:rPr>
          <w:rFonts w:asciiTheme="minorHAnsi" w:hAnsiTheme="minorHAnsi" w:cstheme="minorHAnsi"/>
          <w:b/>
          <w:bCs/>
        </w:rPr>
        <w:t>)</w:t>
      </w:r>
      <w:r w:rsidR="00D92866" w:rsidRPr="00A87F4B">
        <w:rPr>
          <w:rFonts w:asciiTheme="minorHAnsi" w:hAnsiTheme="minorHAnsi" w:cstheme="minorHAnsi"/>
          <w:b/>
          <w:bCs/>
        </w:rPr>
        <w:t xml:space="preserve"> Equine</w:t>
      </w:r>
      <w:r w:rsidR="005158BD" w:rsidRPr="00A87F4B">
        <w:rPr>
          <w:rFonts w:asciiTheme="minorHAnsi" w:hAnsiTheme="minorHAnsi" w:cstheme="minorHAnsi"/>
          <w:b/>
          <w:bCs/>
        </w:rPr>
        <w:t xml:space="preserve"> Study Update </w:t>
      </w:r>
      <w:r w:rsidR="008C3087" w:rsidRPr="00A87F4B">
        <w:rPr>
          <w:rFonts w:asciiTheme="minorHAnsi" w:hAnsiTheme="minorHAnsi" w:cstheme="minorHAnsi"/>
        </w:rPr>
        <w:t>by Dr. Andrea Bea</w:t>
      </w:r>
      <w:r w:rsidR="002208A6">
        <w:rPr>
          <w:rFonts w:asciiTheme="minorHAnsi" w:hAnsiTheme="minorHAnsi" w:cstheme="minorHAnsi"/>
        </w:rPr>
        <w:t>m</w:t>
      </w:r>
      <w:r w:rsidR="008C3087" w:rsidRPr="00A87F4B">
        <w:rPr>
          <w:rFonts w:asciiTheme="minorHAnsi" w:hAnsiTheme="minorHAnsi" w:cstheme="minorHAnsi"/>
        </w:rPr>
        <w:t>, USDA-APHIS-Veterina</w:t>
      </w:r>
      <w:r w:rsidR="00E90330" w:rsidRPr="00A87F4B">
        <w:rPr>
          <w:rFonts w:asciiTheme="minorHAnsi" w:hAnsiTheme="minorHAnsi" w:cstheme="minorHAnsi"/>
        </w:rPr>
        <w:t>ry Services</w:t>
      </w:r>
    </w:p>
    <w:p w14:paraId="1BBF261A" w14:textId="77777777" w:rsidR="00E90330" w:rsidRPr="00A87F4B" w:rsidRDefault="00E90330" w:rsidP="008B47DF">
      <w:pPr>
        <w:rPr>
          <w:rFonts w:asciiTheme="minorHAnsi" w:hAnsiTheme="minorHAnsi" w:cstheme="minorHAnsi"/>
          <w:b/>
          <w:bCs/>
        </w:rPr>
      </w:pPr>
    </w:p>
    <w:p w14:paraId="6C54422D" w14:textId="77777777" w:rsidR="0039311E" w:rsidRPr="00A87F4B" w:rsidRDefault="0039311E" w:rsidP="0039311E">
      <w:pPr>
        <w:rPr>
          <w:rFonts w:asciiTheme="minorHAnsi" w:hAnsiTheme="minorHAnsi" w:cstheme="minorHAnsi"/>
        </w:rPr>
      </w:pPr>
      <w:r w:rsidRPr="00A87F4B">
        <w:rPr>
          <w:rFonts w:asciiTheme="minorHAnsi" w:hAnsiTheme="minorHAnsi" w:cstheme="minorHAnsi"/>
        </w:rPr>
        <w:t xml:space="preserve">USDA’s NAHMS conducts national studies on the health and health management of U.S. domestic livestock, equine, aquaculture, and poultry populations. NAHMS studies are voluntary, confidential, and are statistically based. </w:t>
      </w:r>
    </w:p>
    <w:p w14:paraId="1327FFB9" w14:textId="77777777" w:rsidR="00BE3006" w:rsidRDefault="00BE3006" w:rsidP="0039311E">
      <w:pPr>
        <w:rPr>
          <w:rFonts w:asciiTheme="minorHAnsi" w:hAnsiTheme="minorHAnsi" w:cstheme="minorHAnsi"/>
        </w:rPr>
      </w:pPr>
    </w:p>
    <w:p w14:paraId="4E0F4F84" w14:textId="0FFCA9A9" w:rsidR="00BE3006" w:rsidRPr="00A87F4B" w:rsidRDefault="0039311E" w:rsidP="0039311E">
      <w:pPr>
        <w:rPr>
          <w:rFonts w:asciiTheme="minorHAnsi" w:hAnsiTheme="minorHAnsi" w:cstheme="minorHAnsi"/>
        </w:rPr>
      </w:pPr>
      <w:r w:rsidRPr="00A87F4B">
        <w:rPr>
          <w:rFonts w:asciiTheme="minorHAnsi" w:hAnsiTheme="minorHAnsi" w:cstheme="minorHAnsi"/>
        </w:rPr>
        <w:t>The NAHMS Equine 2026 study has the following objectives, which were developed in collaboration with stakeholders:</w:t>
      </w:r>
    </w:p>
    <w:p w14:paraId="5B536538" w14:textId="77777777" w:rsidR="0039311E" w:rsidRPr="00A87F4B" w:rsidRDefault="0039311E" w:rsidP="0039311E">
      <w:pPr>
        <w:pStyle w:val="ListParagraph"/>
        <w:numPr>
          <w:ilvl w:val="0"/>
          <w:numId w:val="13"/>
        </w:numPr>
        <w:spacing w:after="60" w:line="240" w:lineRule="auto"/>
        <w:ind w:left="450" w:hanging="270"/>
        <w:contextualSpacing w:val="0"/>
        <w:rPr>
          <w:rFonts w:cstheme="minorHAnsi"/>
          <w:sz w:val="22"/>
          <w:szCs w:val="22"/>
        </w:rPr>
      </w:pPr>
      <w:r w:rsidRPr="00A87F4B">
        <w:rPr>
          <w:rFonts w:cstheme="minorHAnsi"/>
          <w:sz w:val="22"/>
          <w:szCs w:val="22"/>
        </w:rPr>
        <w:t>Describe trends in equine care, health management, and disease occurrence over time, based on data from 1998, 2005, 2015, and 2026.</w:t>
      </w:r>
    </w:p>
    <w:p w14:paraId="295EFFF8" w14:textId="77777777" w:rsidR="0039311E" w:rsidRPr="00A87F4B" w:rsidRDefault="0039311E" w:rsidP="0039311E">
      <w:pPr>
        <w:pStyle w:val="ListParagraph"/>
        <w:numPr>
          <w:ilvl w:val="0"/>
          <w:numId w:val="13"/>
        </w:numPr>
        <w:spacing w:after="60" w:line="240" w:lineRule="auto"/>
        <w:ind w:left="450" w:hanging="270"/>
        <w:contextualSpacing w:val="0"/>
        <w:rPr>
          <w:rFonts w:cstheme="minorHAnsi"/>
          <w:sz w:val="22"/>
          <w:szCs w:val="22"/>
        </w:rPr>
      </w:pPr>
      <w:r w:rsidRPr="00A87F4B">
        <w:rPr>
          <w:rFonts w:cstheme="minorHAnsi"/>
          <w:sz w:val="22"/>
          <w:szCs w:val="22"/>
        </w:rPr>
        <w:lastRenderedPageBreak/>
        <w:t>Describe biosecurity and health management strategies related to the control of important equine infectious diseases at equine events and on farms.</w:t>
      </w:r>
    </w:p>
    <w:p w14:paraId="3C8E92C7" w14:textId="77777777" w:rsidR="0039311E" w:rsidRPr="00A87F4B" w:rsidRDefault="0039311E" w:rsidP="0039311E">
      <w:pPr>
        <w:pStyle w:val="ListParagraph"/>
        <w:numPr>
          <w:ilvl w:val="0"/>
          <w:numId w:val="13"/>
        </w:numPr>
        <w:spacing w:after="60" w:line="240" w:lineRule="auto"/>
        <w:ind w:left="450" w:hanging="270"/>
        <w:contextualSpacing w:val="0"/>
        <w:rPr>
          <w:rFonts w:cstheme="minorHAnsi"/>
          <w:sz w:val="22"/>
          <w:szCs w:val="22"/>
        </w:rPr>
      </w:pPr>
      <w:r w:rsidRPr="00A87F4B">
        <w:rPr>
          <w:rFonts w:cstheme="minorHAnsi"/>
          <w:sz w:val="22"/>
          <w:szCs w:val="22"/>
        </w:rPr>
        <w:t>Describe use of equine veterinary services and equine owner perceptions about availability of veterinary services for equids.</w:t>
      </w:r>
    </w:p>
    <w:p w14:paraId="44A1B349" w14:textId="77777777" w:rsidR="0039311E" w:rsidRPr="00A87F4B" w:rsidRDefault="0039311E" w:rsidP="0039311E">
      <w:pPr>
        <w:pStyle w:val="ListParagraph"/>
        <w:numPr>
          <w:ilvl w:val="0"/>
          <w:numId w:val="13"/>
        </w:numPr>
        <w:spacing w:after="60" w:line="240" w:lineRule="auto"/>
        <w:ind w:left="450" w:hanging="270"/>
        <w:contextualSpacing w:val="0"/>
        <w:rPr>
          <w:rFonts w:cstheme="minorHAnsi"/>
          <w:sz w:val="22"/>
          <w:szCs w:val="22"/>
        </w:rPr>
      </w:pPr>
      <w:r w:rsidRPr="00A87F4B">
        <w:rPr>
          <w:rFonts w:cstheme="minorHAnsi"/>
          <w:sz w:val="22"/>
          <w:szCs w:val="22"/>
        </w:rPr>
        <w:t>Describe issues surrounding equids that are at-risk (an equid that has an increased possibility of experiencing neglect, abuse, or poor welfare), and/or in transition (transitioning from one home, vocation, opportunity, or owner to the next).</w:t>
      </w:r>
    </w:p>
    <w:p w14:paraId="0A67CCF1" w14:textId="77777777" w:rsidR="0039311E" w:rsidRPr="00A87F4B" w:rsidRDefault="0039311E" w:rsidP="0039311E">
      <w:pPr>
        <w:pStyle w:val="ListParagraph"/>
        <w:numPr>
          <w:ilvl w:val="0"/>
          <w:numId w:val="13"/>
        </w:numPr>
        <w:spacing w:after="60" w:line="240" w:lineRule="auto"/>
        <w:ind w:left="450" w:hanging="270"/>
        <w:contextualSpacing w:val="0"/>
        <w:rPr>
          <w:rFonts w:cstheme="minorHAnsi"/>
          <w:sz w:val="22"/>
          <w:szCs w:val="22"/>
        </w:rPr>
      </w:pPr>
      <w:r w:rsidRPr="00A87F4B">
        <w:rPr>
          <w:rFonts w:cstheme="minorHAnsi"/>
          <w:sz w:val="22"/>
          <w:szCs w:val="22"/>
        </w:rPr>
        <w:t>Describe owner preparedness for emergencies and natural disasters affecting equids.</w:t>
      </w:r>
      <w:r w:rsidRPr="00A87F4B">
        <w:rPr>
          <w:rFonts w:cstheme="minorHAnsi"/>
          <w:noProof/>
          <w:sz w:val="22"/>
          <w:szCs w:val="22"/>
        </w:rPr>
        <w:t xml:space="preserve"> </w:t>
      </w:r>
    </w:p>
    <w:p w14:paraId="3C52728F" w14:textId="712029B7" w:rsidR="0039311E" w:rsidRPr="00BE3006" w:rsidRDefault="0039311E" w:rsidP="00BE3006">
      <w:pPr>
        <w:pStyle w:val="ListParagraph"/>
        <w:numPr>
          <w:ilvl w:val="0"/>
          <w:numId w:val="13"/>
        </w:numPr>
        <w:spacing w:after="60" w:line="240" w:lineRule="auto"/>
        <w:ind w:left="450" w:hanging="270"/>
        <w:contextualSpacing w:val="0"/>
        <w:rPr>
          <w:rFonts w:cstheme="minorHAnsi"/>
          <w:sz w:val="22"/>
          <w:szCs w:val="22"/>
        </w:rPr>
      </w:pPr>
      <w:r w:rsidRPr="00A87F4B">
        <w:rPr>
          <w:rFonts w:cstheme="minorHAnsi"/>
          <w:sz w:val="22"/>
          <w:szCs w:val="22"/>
        </w:rPr>
        <w:t>Estimate the prevalence of equine respiratory disease pathogens from environmental samples at equine events.</w:t>
      </w:r>
    </w:p>
    <w:p w14:paraId="4201B66F" w14:textId="77777777" w:rsidR="0039311E" w:rsidRPr="00A87F4B" w:rsidRDefault="0039311E" w:rsidP="0039311E">
      <w:pPr>
        <w:spacing w:before="120"/>
        <w:rPr>
          <w:rFonts w:asciiTheme="minorHAnsi" w:hAnsiTheme="minorHAnsi" w:cstheme="minorHAnsi"/>
        </w:rPr>
      </w:pPr>
      <w:r w:rsidRPr="00A87F4B">
        <w:rPr>
          <w:rFonts w:asciiTheme="minorHAnsi" w:hAnsiTheme="minorHAnsi" w:cstheme="minorHAnsi"/>
        </w:rPr>
        <w:t>Phase I of the NAHMS Equine 2026 study launched in August 2026. It includes selected farms that have five or more equids</w:t>
      </w:r>
      <w:r w:rsidRPr="00A87F4B">
        <w:rPr>
          <w:rFonts w:asciiTheme="minorHAnsi" w:hAnsiTheme="minorHAnsi" w:cstheme="minorHAnsi"/>
          <w:vertAlign w:val="superscript"/>
        </w:rPr>
        <w:t xml:space="preserve"> </w:t>
      </w:r>
      <w:r w:rsidRPr="00A87F4B">
        <w:rPr>
          <w:rFonts w:asciiTheme="minorHAnsi" w:hAnsiTheme="minorHAnsi" w:cstheme="minorHAnsi"/>
        </w:rPr>
        <w:t xml:space="preserve">in all 50 States and is being conducted in collaboration with the USDA National Agricultural Statistics Service (NASS). Phase I data collection will finish this Fall. </w:t>
      </w:r>
    </w:p>
    <w:p w14:paraId="56C09C09" w14:textId="77777777" w:rsidR="0039311E" w:rsidRPr="00A87F4B" w:rsidRDefault="0039311E" w:rsidP="0039311E">
      <w:pPr>
        <w:rPr>
          <w:rFonts w:asciiTheme="minorHAnsi" w:hAnsiTheme="minorHAnsi" w:cstheme="minorHAnsi"/>
        </w:rPr>
      </w:pPr>
    </w:p>
    <w:p w14:paraId="71D6FCD6" w14:textId="5ABAFA26" w:rsidR="00E90330" w:rsidRPr="00BE3006" w:rsidRDefault="0039311E" w:rsidP="00BE3006">
      <w:pPr>
        <w:spacing w:before="120"/>
        <w:rPr>
          <w:rFonts w:asciiTheme="minorHAnsi" w:hAnsiTheme="minorHAnsi" w:cstheme="minorHAnsi"/>
        </w:rPr>
      </w:pPr>
      <w:r w:rsidRPr="00A87F4B">
        <w:rPr>
          <w:rFonts w:asciiTheme="minorHAnsi" w:hAnsiTheme="minorHAnsi" w:cstheme="minorHAnsi"/>
        </w:rPr>
        <w:t xml:space="preserve">Phase II of the study was designed to focus on equine events. It was put on hold in 2025, and NAHMS will evaluate capacity for Phase II next Spring. </w:t>
      </w:r>
    </w:p>
    <w:p w14:paraId="2AD8A72A" w14:textId="77777777" w:rsidR="00E90330" w:rsidRPr="00A87F4B" w:rsidRDefault="00E90330" w:rsidP="008B47DF">
      <w:pPr>
        <w:rPr>
          <w:rFonts w:asciiTheme="minorHAnsi" w:hAnsiTheme="minorHAnsi" w:cstheme="minorHAnsi"/>
          <w:b/>
          <w:bCs/>
        </w:rPr>
      </w:pPr>
    </w:p>
    <w:p w14:paraId="209E233F" w14:textId="0F2573D0" w:rsidR="008B47DF" w:rsidRPr="00A87F4B" w:rsidRDefault="008B47DF" w:rsidP="008B47DF">
      <w:pPr>
        <w:rPr>
          <w:rFonts w:asciiTheme="minorHAnsi" w:hAnsiTheme="minorHAnsi" w:cstheme="minorHAnsi"/>
          <w:b/>
          <w:bCs/>
        </w:rPr>
      </w:pPr>
      <w:r w:rsidRPr="00A87F4B">
        <w:rPr>
          <w:rFonts w:asciiTheme="minorHAnsi" w:hAnsiTheme="minorHAnsi" w:cstheme="minorHAnsi"/>
          <w:b/>
          <w:bCs/>
        </w:rPr>
        <w:t>Point of Care PCR Testing Updates</w:t>
      </w:r>
      <w:r w:rsidRPr="00A87F4B">
        <w:rPr>
          <w:rFonts w:asciiTheme="minorHAnsi" w:hAnsiTheme="minorHAnsi" w:cstheme="minorHAnsi"/>
        </w:rPr>
        <w:t xml:space="preserve"> by Eric Mendonsa and Nick Tran, Fluxergy</w:t>
      </w:r>
    </w:p>
    <w:p w14:paraId="6DBAFE94" w14:textId="77777777" w:rsidR="008B47DF" w:rsidRPr="00A87F4B" w:rsidRDefault="008B47DF" w:rsidP="008B47DF">
      <w:pPr>
        <w:rPr>
          <w:rFonts w:asciiTheme="minorHAnsi" w:hAnsiTheme="minorHAnsi" w:cstheme="minorHAnsi"/>
          <w:b/>
          <w:bCs/>
        </w:rPr>
      </w:pPr>
    </w:p>
    <w:p w14:paraId="5CED9A82" w14:textId="7E6E79EA" w:rsidR="00723190" w:rsidRPr="00A87F4B" w:rsidRDefault="00723190" w:rsidP="00723190">
      <w:pPr>
        <w:spacing w:before="120" w:after="120"/>
        <w:rPr>
          <w:rFonts w:asciiTheme="minorHAnsi" w:hAnsiTheme="minorHAnsi" w:cstheme="minorHAnsi"/>
        </w:rPr>
      </w:pPr>
      <w:r w:rsidRPr="00A87F4B">
        <w:rPr>
          <w:rFonts w:asciiTheme="minorHAnsi" w:hAnsiTheme="minorHAnsi" w:cstheme="minorHAnsi"/>
        </w:rPr>
        <w:t xml:space="preserve">Fluxergy provided an update on the development and USDA licensure pathway for its Equine Respiratory Panel (ERP), highlighting progress toward bringing rapid point-of-care molecular diagnostics to equine veterinary practice while maintaining alignment with USDA and state regulatory expectations. </w:t>
      </w:r>
      <w:r w:rsidR="005158BD" w:rsidRPr="00A87F4B">
        <w:rPr>
          <w:rFonts w:asciiTheme="minorHAnsi" w:hAnsiTheme="minorHAnsi" w:cstheme="minorHAnsi"/>
        </w:rPr>
        <w:t xml:space="preserve">Three key updates </w:t>
      </w:r>
      <w:r w:rsidR="00BE3006" w:rsidRPr="00A87F4B">
        <w:rPr>
          <w:rFonts w:asciiTheme="minorHAnsi" w:hAnsiTheme="minorHAnsi" w:cstheme="minorHAnsi"/>
        </w:rPr>
        <w:t>were</w:t>
      </w:r>
      <w:r w:rsidR="005158BD" w:rsidRPr="00A87F4B">
        <w:rPr>
          <w:rFonts w:asciiTheme="minorHAnsi" w:hAnsiTheme="minorHAnsi" w:cstheme="minorHAnsi"/>
        </w:rPr>
        <w:t xml:space="preserve"> provided.</w:t>
      </w:r>
    </w:p>
    <w:p w14:paraId="224D6736" w14:textId="77777777" w:rsidR="00723190" w:rsidRPr="008A221A" w:rsidRDefault="00723190" w:rsidP="002F473B">
      <w:pPr>
        <w:spacing w:before="120" w:after="120"/>
        <w:rPr>
          <w:rFonts w:asciiTheme="minorHAnsi" w:hAnsiTheme="minorHAnsi" w:cstheme="minorHAnsi"/>
          <w:u w:val="single"/>
        </w:rPr>
      </w:pPr>
      <w:r w:rsidRPr="008A221A">
        <w:rPr>
          <w:rFonts w:asciiTheme="minorHAnsi" w:hAnsiTheme="minorHAnsi" w:cstheme="minorHAnsi"/>
          <w:u w:val="single"/>
        </w:rPr>
        <w:t>Equine Point-of-Care PCR Platform</w:t>
      </w:r>
    </w:p>
    <w:p w14:paraId="0E7D515F" w14:textId="77777777" w:rsidR="00723190" w:rsidRPr="00A87F4B" w:rsidRDefault="00723190" w:rsidP="00723190">
      <w:pPr>
        <w:spacing w:before="120" w:after="120"/>
        <w:ind w:left="360"/>
        <w:contextualSpacing/>
        <w:rPr>
          <w:rFonts w:asciiTheme="minorHAnsi" w:hAnsiTheme="minorHAnsi" w:cstheme="minorHAnsi"/>
        </w:rPr>
      </w:pPr>
      <w:r w:rsidRPr="00A87F4B">
        <w:rPr>
          <w:rFonts w:asciiTheme="minorHAnsi" w:hAnsiTheme="minorHAnsi" w:cstheme="minorHAnsi"/>
        </w:rPr>
        <w:t>Fluxergy described its platform as the first rapid on-site PCR analyzer designed for equine practice laboratories, with results available in approximately one hour. The company reported:</w:t>
      </w:r>
    </w:p>
    <w:p w14:paraId="78A75950" w14:textId="77777777" w:rsidR="00723190" w:rsidRPr="00A87F4B" w:rsidRDefault="00723190" w:rsidP="00723190">
      <w:pPr>
        <w:numPr>
          <w:ilvl w:val="0"/>
          <w:numId w:val="8"/>
        </w:numPr>
        <w:spacing w:before="120" w:after="120"/>
        <w:contextualSpacing/>
        <w:rPr>
          <w:rFonts w:asciiTheme="minorHAnsi" w:hAnsiTheme="minorHAnsi" w:cstheme="minorHAnsi"/>
        </w:rPr>
      </w:pPr>
      <w:r w:rsidRPr="00A87F4B">
        <w:rPr>
          <w:rFonts w:asciiTheme="minorHAnsi" w:hAnsiTheme="minorHAnsi" w:cstheme="minorHAnsi"/>
        </w:rPr>
        <w:t>9 years of equine veterinary research and development.</w:t>
      </w:r>
    </w:p>
    <w:p w14:paraId="471A4DEB" w14:textId="77777777" w:rsidR="00723190" w:rsidRPr="00A87F4B" w:rsidRDefault="00723190" w:rsidP="00723190">
      <w:pPr>
        <w:numPr>
          <w:ilvl w:val="0"/>
          <w:numId w:val="8"/>
        </w:numPr>
        <w:spacing w:before="120" w:after="120"/>
        <w:contextualSpacing/>
        <w:rPr>
          <w:rFonts w:asciiTheme="minorHAnsi" w:hAnsiTheme="minorHAnsi" w:cstheme="minorHAnsi"/>
        </w:rPr>
      </w:pPr>
      <w:r w:rsidRPr="00A87F4B">
        <w:rPr>
          <w:rFonts w:asciiTheme="minorHAnsi" w:hAnsiTheme="minorHAnsi" w:cstheme="minorHAnsi"/>
        </w:rPr>
        <w:t>Approximately 150 equine practices currently using the platform.</w:t>
      </w:r>
    </w:p>
    <w:p w14:paraId="572C13F3" w14:textId="77777777" w:rsidR="00723190" w:rsidRPr="00A87F4B" w:rsidRDefault="00723190" w:rsidP="00723190">
      <w:pPr>
        <w:numPr>
          <w:ilvl w:val="0"/>
          <w:numId w:val="8"/>
        </w:numPr>
        <w:spacing w:before="120" w:after="120"/>
        <w:contextualSpacing/>
        <w:rPr>
          <w:rFonts w:asciiTheme="minorHAnsi" w:hAnsiTheme="minorHAnsi" w:cstheme="minorHAnsi"/>
        </w:rPr>
      </w:pPr>
      <w:r w:rsidRPr="00A87F4B">
        <w:rPr>
          <w:rFonts w:asciiTheme="minorHAnsi" w:hAnsiTheme="minorHAnsi" w:cstheme="minorHAnsi"/>
        </w:rPr>
        <w:t xml:space="preserve">Analyzer installations across 43 states and provinces. </w:t>
      </w:r>
    </w:p>
    <w:p w14:paraId="51063A7A" w14:textId="77777777" w:rsidR="00723190" w:rsidRPr="00A87F4B" w:rsidRDefault="00723190" w:rsidP="00723190">
      <w:pPr>
        <w:numPr>
          <w:ilvl w:val="0"/>
          <w:numId w:val="8"/>
        </w:numPr>
        <w:spacing w:before="120" w:after="120"/>
        <w:contextualSpacing/>
        <w:rPr>
          <w:rFonts w:asciiTheme="minorHAnsi" w:hAnsiTheme="minorHAnsi" w:cstheme="minorHAnsi"/>
        </w:rPr>
      </w:pPr>
      <w:r w:rsidRPr="00A87F4B">
        <w:rPr>
          <w:rFonts w:asciiTheme="minorHAnsi" w:hAnsiTheme="minorHAnsi" w:cstheme="minorHAnsi"/>
        </w:rPr>
        <w:t>Four assays available.</w:t>
      </w:r>
    </w:p>
    <w:p w14:paraId="76FE350E" w14:textId="77777777" w:rsidR="00723190" w:rsidRPr="00A87F4B" w:rsidRDefault="00723190" w:rsidP="00723190">
      <w:pPr>
        <w:numPr>
          <w:ilvl w:val="0"/>
          <w:numId w:val="8"/>
        </w:numPr>
        <w:spacing w:before="120" w:after="120"/>
        <w:contextualSpacing/>
        <w:rPr>
          <w:rFonts w:asciiTheme="minorHAnsi" w:hAnsiTheme="minorHAnsi" w:cstheme="minorHAnsi"/>
        </w:rPr>
      </w:pPr>
      <w:r w:rsidRPr="00A87F4B">
        <w:rPr>
          <w:rFonts w:asciiTheme="minorHAnsi" w:hAnsiTheme="minorHAnsi" w:cstheme="minorHAnsi"/>
        </w:rPr>
        <w:t>Two active USDA licensing submissions.</w:t>
      </w:r>
    </w:p>
    <w:p w14:paraId="6EE97441" w14:textId="534722DC" w:rsidR="008A221A" w:rsidRPr="000D3A6C" w:rsidRDefault="00723190" w:rsidP="000D3A6C">
      <w:pPr>
        <w:numPr>
          <w:ilvl w:val="0"/>
          <w:numId w:val="8"/>
        </w:numPr>
        <w:spacing w:before="120" w:after="120"/>
        <w:contextualSpacing/>
        <w:rPr>
          <w:rFonts w:asciiTheme="minorHAnsi" w:hAnsiTheme="minorHAnsi" w:cstheme="minorHAnsi"/>
        </w:rPr>
      </w:pPr>
      <w:r w:rsidRPr="00A87F4B">
        <w:rPr>
          <w:rFonts w:asciiTheme="minorHAnsi" w:hAnsiTheme="minorHAnsi" w:cstheme="minorHAnsi"/>
        </w:rPr>
        <w:t>Quality system compliance with ISO 13485, FDA QMSR, and USDA 9CFR.</w:t>
      </w:r>
    </w:p>
    <w:p w14:paraId="52D1BCE7" w14:textId="63D32B4D" w:rsidR="00723190" w:rsidRPr="008A221A" w:rsidRDefault="00723190" w:rsidP="002F473B">
      <w:pPr>
        <w:spacing w:before="120" w:after="120"/>
        <w:rPr>
          <w:rFonts w:asciiTheme="minorHAnsi" w:hAnsiTheme="minorHAnsi" w:cstheme="minorHAnsi"/>
          <w:u w:val="single"/>
        </w:rPr>
      </w:pPr>
      <w:r w:rsidRPr="008A221A">
        <w:rPr>
          <w:rFonts w:asciiTheme="minorHAnsi" w:hAnsiTheme="minorHAnsi" w:cstheme="minorHAnsi"/>
          <w:u w:val="single"/>
        </w:rPr>
        <w:t>USDA Licensing Progress for the Equine Respiratory Panel (ERP)</w:t>
      </w:r>
    </w:p>
    <w:p w14:paraId="5348CA93" w14:textId="77777777" w:rsidR="00723190" w:rsidRPr="00A87F4B" w:rsidRDefault="00723190" w:rsidP="00723190">
      <w:pPr>
        <w:spacing w:before="120" w:after="120"/>
        <w:ind w:left="360"/>
        <w:contextualSpacing/>
        <w:rPr>
          <w:rFonts w:asciiTheme="minorHAnsi" w:hAnsiTheme="minorHAnsi" w:cstheme="minorHAnsi"/>
        </w:rPr>
      </w:pPr>
      <w:r w:rsidRPr="00A87F4B">
        <w:rPr>
          <w:rFonts w:asciiTheme="minorHAnsi" w:hAnsiTheme="minorHAnsi" w:cstheme="minorHAnsi"/>
        </w:rPr>
        <w:t>Fluxergy continues to advance its USDA licensure program for the Equine Respiratory Panel and has completed all planned development studies including:</w:t>
      </w:r>
    </w:p>
    <w:p w14:paraId="2A904F62" w14:textId="77777777" w:rsidR="00723190" w:rsidRPr="00A87F4B" w:rsidRDefault="00723190" w:rsidP="00723190">
      <w:pPr>
        <w:numPr>
          <w:ilvl w:val="0"/>
          <w:numId w:val="9"/>
        </w:numPr>
        <w:spacing w:before="120" w:after="120"/>
        <w:contextualSpacing/>
        <w:rPr>
          <w:rFonts w:asciiTheme="minorHAnsi" w:hAnsiTheme="minorHAnsi" w:cstheme="minorHAnsi"/>
        </w:rPr>
      </w:pPr>
      <w:r w:rsidRPr="00A87F4B">
        <w:rPr>
          <w:rFonts w:asciiTheme="minorHAnsi" w:hAnsiTheme="minorHAnsi" w:cstheme="minorHAnsi"/>
        </w:rPr>
        <w:t>Limit of Detection (LoD)</w:t>
      </w:r>
    </w:p>
    <w:p w14:paraId="7D421E3E" w14:textId="77777777" w:rsidR="00723190" w:rsidRPr="00A87F4B" w:rsidRDefault="00723190" w:rsidP="00723190">
      <w:pPr>
        <w:numPr>
          <w:ilvl w:val="0"/>
          <w:numId w:val="9"/>
        </w:numPr>
        <w:spacing w:before="120" w:after="120"/>
        <w:contextualSpacing/>
        <w:rPr>
          <w:rFonts w:asciiTheme="minorHAnsi" w:hAnsiTheme="minorHAnsi" w:cstheme="minorHAnsi"/>
        </w:rPr>
      </w:pPr>
      <w:r w:rsidRPr="00A87F4B">
        <w:rPr>
          <w:rFonts w:asciiTheme="minorHAnsi" w:hAnsiTheme="minorHAnsi" w:cstheme="minorHAnsi"/>
        </w:rPr>
        <w:t>Analytical Specificity</w:t>
      </w:r>
    </w:p>
    <w:p w14:paraId="6C8F20D7" w14:textId="77777777" w:rsidR="00723190" w:rsidRPr="00A87F4B" w:rsidRDefault="00723190" w:rsidP="00723190">
      <w:pPr>
        <w:numPr>
          <w:ilvl w:val="0"/>
          <w:numId w:val="9"/>
        </w:numPr>
        <w:spacing w:before="120" w:after="120"/>
        <w:contextualSpacing/>
        <w:rPr>
          <w:rFonts w:asciiTheme="minorHAnsi" w:hAnsiTheme="minorHAnsi" w:cstheme="minorHAnsi"/>
        </w:rPr>
      </w:pPr>
      <w:r w:rsidRPr="00A87F4B">
        <w:rPr>
          <w:rFonts w:asciiTheme="minorHAnsi" w:hAnsiTheme="minorHAnsi" w:cstheme="minorHAnsi"/>
        </w:rPr>
        <w:t>Ruggedness testing</w:t>
      </w:r>
    </w:p>
    <w:p w14:paraId="49EBBCBC" w14:textId="77777777" w:rsidR="00723190" w:rsidRPr="00A87F4B" w:rsidRDefault="00723190" w:rsidP="00723190">
      <w:pPr>
        <w:numPr>
          <w:ilvl w:val="0"/>
          <w:numId w:val="9"/>
        </w:numPr>
        <w:spacing w:before="120" w:after="120"/>
        <w:contextualSpacing/>
        <w:rPr>
          <w:rFonts w:asciiTheme="minorHAnsi" w:hAnsiTheme="minorHAnsi" w:cstheme="minorHAnsi"/>
        </w:rPr>
      </w:pPr>
      <w:r w:rsidRPr="00A87F4B">
        <w:rPr>
          <w:rFonts w:asciiTheme="minorHAnsi" w:hAnsiTheme="minorHAnsi" w:cstheme="minorHAnsi"/>
        </w:rPr>
        <w:t>Acceptance of foundational licensing and production documentation</w:t>
      </w:r>
    </w:p>
    <w:p w14:paraId="73B45009" w14:textId="77777777" w:rsidR="00723190" w:rsidRPr="00A87F4B" w:rsidRDefault="00723190" w:rsidP="00723190">
      <w:pPr>
        <w:spacing w:before="240"/>
        <w:ind w:left="360"/>
        <w:rPr>
          <w:rFonts w:asciiTheme="minorHAnsi" w:hAnsiTheme="minorHAnsi" w:cstheme="minorHAnsi"/>
        </w:rPr>
      </w:pPr>
      <w:r w:rsidRPr="00A87F4B">
        <w:rPr>
          <w:rFonts w:asciiTheme="minorHAnsi" w:hAnsiTheme="minorHAnsi" w:cstheme="minorHAnsi"/>
        </w:rPr>
        <w:t>Verification studies are currently in progress:</w:t>
      </w:r>
    </w:p>
    <w:p w14:paraId="676F5E01" w14:textId="77777777" w:rsidR="00723190" w:rsidRPr="00A87F4B" w:rsidRDefault="00723190" w:rsidP="00723190">
      <w:pPr>
        <w:numPr>
          <w:ilvl w:val="0"/>
          <w:numId w:val="10"/>
        </w:numPr>
        <w:spacing w:before="120" w:after="120"/>
        <w:contextualSpacing/>
        <w:rPr>
          <w:rFonts w:asciiTheme="minorHAnsi" w:hAnsiTheme="minorHAnsi" w:cstheme="minorHAnsi"/>
        </w:rPr>
      </w:pPr>
      <w:r w:rsidRPr="00A87F4B">
        <w:rPr>
          <w:rFonts w:asciiTheme="minorHAnsi" w:hAnsiTheme="minorHAnsi" w:cstheme="minorHAnsi"/>
        </w:rPr>
        <w:t>Diagnostic Sensitivity and Specificity studies to confirm clinical performance.</w:t>
      </w:r>
    </w:p>
    <w:p w14:paraId="36764C91" w14:textId="77777777" w:rsidR="00723190" w:rsidRPr="00A87F4B" w:rsidRDefault="00723190" w:rsidP="00723190">
      <w:pPr>
        <w:numPr>
          <w:ilvl w:val="0"/>
          <w:numId w:val="10"/>
        </w:numPr>
        <w:spacing w:before="120" w:after="120"/>
        <w:contextualSpacing/>
        <w:rPr>
          <w:rFonts w:asciiTheme="minorHAnsi" w:hAnsiTheme="minorHAnsi" w:cstheme="minorHAnsi"/>
        </w:rPr>
      </w:pPr>
      <w:r w:rsidRPr="00A87F4B">
        <w:rPr>
          <w:rFonts w:asciiTheme="minorHAnsi" w:hAnsiTheme="minorHAnsi" w:cstheme="minorHAnsi"/>
        </w:rPr>
        <w:t>Serial Release and Confirmation of Dating studies to demonstrate manufacturing consistency and shelf-life performance.</w:t>
      </w:r>
    </w:p>
    <w:p w14:paraId="73642858" w14:textId="77777777" w:rsidR="00723190" w:rsidRPr="00A87F4B" w:rsidRDefault="00723190" w:rsidP="00723190">
      <w:pPr>
        <w:numPr>
          <w:ilvl w:val="0"/>
          <w:numId w:val="10"/>
        </w:numPr>
        <w:spacing w:before="120" w:after="120"/>
        <w:contextualSpacing/>
        <w:rPr>
          <w:rFonts w:asciiTheme="minorHAnsi" w:hAnsiTheme="minorHAnsi" w:cstheme="minorHAnsi"/>
          <w:b/>
          <w:bCs/>
        </w:rPr>
      </w:pPr>
      <w:r w:rsidRPr="00A87F4B">
        <w:rPr>
          <w:rFonts w:asciiTheme="minorHAnsi" w:hAnsiTheme="minorHAnsi" w:cstheme="minorHAnsi"/>
        </w:rPr>
        <w:lastRenderedPageBreak/>
        <w:t>Interlaboratory Comparison studies to evaluate reproducibility and readiness for use across multiple external veterinary laboratories and sites.</w:t>
      </w:r>
    </w:p>
    <w:p w14:paraId="646CB7B8" w14:textId="77777777" w:rsidR="00723190" w:rsidRPr="000D3A6C" w:rsidRDefault="00723190" w:rsidP="002F473B">
      <w:pPr>
        <w:spacing w:before="120" w:after="120"/>
        <w:rPr>
          <w:rFonts w:asciiTheme="minorHAnsi" w:hAnsiTheme="minorHAnsi" w:cstheme="minorHAnsi"/>
          <w:u w:val="single"/>
        </w:rPr>
      </w:pPr>
      <w:r w:rsidRPr="000D3A6C">
        <w:rPr>
          <w:rFonts w:asciiTheme="minorHAnsi" w:hAnsiTheme="minorHAnsi" w:cstheme="minorHAnsi"/>
          <w:u w:val="single"/>
        </w:rPr>
        <w:t>Regulatory and Industry Collaboration</w:t>
      </w:r>
    </w:p>
    <w:p w14:paraId="39D10282" w14:textId="77777777" w:rsidR="00723190" w:rsidRPr="00A87F4B" w:rsidRDefault="00723190" w:rsidP="00723190">
      <w:pPr>
        <w:spacing w:before="120" w:after="120"/>
        <w:ind w:left="360"/>
        <w:contextualSpacing/>
        <w:rPr>
          <w:rFonts w:asciiTheme="minorHAnsi" w:hAnsiTheme="minorHAnsi" w:cstheme="minorHAnsi"/>
        </w:rPr>
      </w:pPr>
      <w:r w:rsidRPr="00A87F4B">
        <w:rPr>
          <w:rFonts w:asciiTheme="minorHAnsi" w:hAnsiTheme="minorHAnsi" w:cstheme="minorHAnsi"/>
        </w:rPr>
        <w:t>Fluxergy emphasized three ongoing commitments:</w:t>
      </w:r>
    </w:p>
    <w:p w14:paraId="225A07F3" w14:textId="0DB17F0A" w:rsidR="00723190" w:rsidRPr="00A87F4B" w:rsidRDefault="00723190" w:rsidP="00723190">
      <w:pPr>
        <w:pStyle w:val="ListParagraph"/>
        <w:numPr>
          <w:ilvl w:val="0"/>
          <w:numId w:val="12"/>
        </w:numPr>
        <w:spacing w:before="120" w:after="120" w:line="240" w:lineRule="auto"/>
        <w:rPr>
          <w:rFonts w:cstheme="minorHAnsi"/>
          <w:sz w:val="22"/>
          <w:szCs w:val="22"/>
        </w:rPr>
      </w:pPr>
      <w:r w:rsidRPr="000D3A6C">
        <w:rPr>
          <w:rFonts w:cstheme="minorHAnsi"/>
          <w:sz w:val="22"/>
          <w:szCs w:val="22"/>
        </w:rPr>
        <w:t>Sustaining Compliance</w:t>
      </w:r>
      <w:r w:rsidRPr="00A87F4B">
        <w:rPr>
          <w:rFonts w:cstheme="minorHAnsi"/>
          <w:sz w:val="22"/>
          <w:szCs w:val="22"/>
        </w:rPr>
        <w:t>: Continued focus on meeting applicable USDA and state requirements through product development, customer onboarding, and educational activities.</w:t>
      </w:r>
    </w:p>
    <w:p w14:paraId="72EFBD21" w14:textId="6B1131D4" w:rsidR="00723190" w:rsidRPr="00A87F4B" w:rsidRDefault="00723190" w:rsidP="00723190">
      <w:pPr>
        <w:pStyle w:val="ListParagraph"/>
        <w:numPr>
          <w:ilvl w:val="0"/>
          <w:numId w:val="12"/>
        </w:numPr>
        <w:tabs>
          <w:tab w:val="num" w:pos="720"/>
        </w:tabs>
        <w:spacing w:before="120" w:after="120" w:line="240" w:lineRule="auto"/>
        <w:rPr>
          <w:rFonts w:cstheme="minorHAnsi"/>
          <w:sz w:val="22"/>
          <w:szCs w:val="22"/>
        </w:rPr>
      </w:pPr>
      <w:r w:rsidRPr="000D3A6C">
        <w:rPr>
          <w:rFonts w:cstheme="minorHAnsi"/>
          <w:sz w:val="22"/>
          <w:szCs w:val="22"/>
        </w:rPr>
        <w:t>Maintaining Transparency and Alignment:</w:t>
      </w:r>
      <w:r w:rsidRPr="00A87F4B">
        <w:rPr>
          <w:rFonts w:cstheme="minorHAnsi"/>
          <w:sz w:val="22"/>
          <w:szCs w:val="22"/>
        </w:rPr>
        <w:t xml:space="preserve"> Ongoing engagement with USDA Center for Veterinary Biologics (CVB) and State Animal Health Officials (SAHOs) to promote transparency, shared understanding, and regulatory alignment. </w:t>
      </w:r>
    </w:p>
    <w:p w14:paraId="575DFA52" w14:textId="6D636132" w:rsidR="008B47DF" w:rsidRPr="00A87F4B" w:rsidRDefault="00723190" w:rsidP="00A4095A">
      <w:pPr>
        <w:pStyle w:val="ListParagraph"/>
        <w:numPr>
          <w:ilvl w:val="0"/>
          <w:numId w:val="12"/>
        </w:numPr>
        <w:spacing w:before="120" w:after="120" w:line="240" w:lineRule="auto"/>
        <w:rPr>
          <w:rFonts w:cstheme="minorHAnsi"/>
          <w:sz w:val="22"/>
          <w:szCs w:val="22"/>
        </w:rPr>
      </w:pPr>
      <w:r w:rsidRPr="000D3A6C">
        <w:rPr>
          <w:rFonts w:cstheme="minorHAnsi"/>
          <w:sz w:val="22"/>
          <w:szCs w:val="22"/>
        </w:rPr>
        <w:t>Building Broader Biosecurity Capability</w:t>
      </w:r>
      <w:r w:rsidRPr="00A87F4B">
        <w:rPr>
          <w:rFonts w:cstheme="minorHAnsi"/>
          <w:sz w:val="22"/>
          <w:szCs w:val="22"/>
        </w:rPr>
        <w:t>: Long-term objective of developing scalable biosecurity solutions that extend beyond equine health and support the broader animal-health community.</w:t>
      </w:r>
    </w:p>
    <w:p w14:paraId="4B58FB9F" w14:textId="77777777" w:rsidR="008B47DF" w:rsidRPr="00A87F4B" w:rsidRDefault="008B47DF" w:rsidP="008B47DF">
      <w:pPr>
        <w:rPr>
          <w:rFonts w:asciiTheme="minorHAnsi" w:hAnsiTheme="minorHAnsi" w:cstheme="minorHAnsi"/>
          <w:b/>
          <w:bCs/>
        </w:rPr>
      </w:pPr>
    </w:p>
    <w:p w14:paraId="2FB9E8D1" w14:textId="77777777" w:rsidR="008B47DF" w:rsidRPr="00A87F4B" w:rsidRDefault="008B47DF" w:rsidP="008B47DF">
      <w:pPr>
        <w:rPr>
          <w:rFonts w:asciiTheme="minorHAnsi" w:hAnsiTheme="minorHAnsi" w:cstheme="minorHAnsi"/>
        </w:rPr>
      </w:pPr>
      <w:r w:rsidRPr="00A87F4B">
        <w:rPr>
          <w:rFonts w:asciiTheme="minorHAnsi" w:hAnsiTheme="minorHAnsi" w:cstheme="minorHAnsi"/>
          <w:b/>
          <w:bCs/>
        </w:rPr>
        <w:t xml:space="preserve">High Health High Performance Resolution Background </w:t>
      </w:r>
      <w:r w:rsidRPr="00A87F4B">
        <w:rPr>
          <w:rFonts w:asciiTheme="minorHAnsi" w:hAnsiTheme="minorHAnsi" w:cstheme="minorHAnsi"/>
        </w:rPr>
        <w:t>by Katie Flynn, BVMS, MRCVS, United States Equine Federation</w:t>
      </w:r>
    </w:p>
    <w:p w14:paraId="0A255C8A" w14:textId="77777777" w:rsidR="008B47DF" w:rsidRPr="00A87F4B" w:rsidRDefault="008B47DF" w:rsidP="008B47DF">
      <w:pPr>
        <w:rPr>
          <w:rFonts w:asciiTheme="minorHAnsi" w:hAnsiTheme="minorHAnsi" w:cstheme="minorHAnsi"/>
        </w:rPr>
      </w:pPr>
    </w:p>
    <w:p w14:paraId="6D70265F" w14:textId="77777777" w:rsidR="0026335B" w:rsidRPr="00A87F4B" w:rsidRDefault="0026335B" w:rsidP="0026335B">
      <w:pPr>
        <w:rPr>
          <w:rFonts w:asciiTheme="minorHAnsi" w:hAnsiTheme="minorHAnsi" w:cstheme="minorHAnsi"/>
        </w:rPr>
      </w:pPr>
      <w:r w:rsidRPr="00A87F4B">
        <w:rPr>
          <w:rFonts w:asciiTheme="minorHAnsi" w:hAnsiTheme="minorHAnsi" w:cstheme="minorHAnsi"/>
        </w:rPr>
        <w:t>Equine athletes compete worldwide, representing their home countries at international events. The Fédération Equestre Internationale (FEI) is the global governing body for equestrian sport and is recognized by the International Olympic Committee (IOC) and International Paralympic Committee (IPC). It establishes rules for the Olympic disciplines of jumping, dressage, and eventing, as well as non-Olympic disciplines including endurance, driving, and vaulting. The FEI’s mission is to develop and govern these sports globally, safeguard horse health and welfare, promote integrity, and ensure fair and equal opportunities for athletes.</w:t>
      </w:r>
    </w:p>
    <w:p w14:paraId="1AFF0CD4" w14:textId="77777777" w:rsidR="000D3A6C" w:rsidRDefault="000D3A6C" w:rsidP="0026335B">
      <w:pPr>
        <w:rPr>
          <w:rFonts w:asciiTheme="minorHAnsi" w:hAnsiTheme="minorHAnsi" w:cstheme="minorHAnsi"/>
        </w:rPr>
      </w:pPr>
    </w:p>
    <w:p w14:paraId="027CF6DD" w14:textId="1894AEB5" w:rsidR="0026335B" w:rsidRPr="00A87F4B" w:rsidRDefault="0026335B" w:rsidP="0026335B">
      <w:pPr>
        <w:rPr>
          <w:rFonts w:asciiTheme="minorHAnsi" w:hAnsiTheme="minorHAnsi" w:cstheme="minorHAnsi"/>
        </w:rPr>
      </w:pPr>
      <w:r w:rsidRPr="00A87F4B">
        <w:rPr>
          <w:rFonts w:asciiTheme="minorHAnsi" w:hAnsiTheme="minorHAnsi" w:cstheme="minorHAnsi"/>
        </w:rPr>
        <w:t>Robust, science-based FEI veterinary rules protect the health and well-being of international equine athletes. These rules incorporate key World Organisation for Animal Health requirements for the recognized High Health High Performance (HHP) horse subpopulation. Horses competing in FEI events must meet identification, traceability, and biosecurity requirements before, during, and after competition. FEI rules and protocols also emphasize health monitoring and routine veterinary care to maintain the high health status of equine athletes at home and abroad.</w:t>
      </w:r>
    </w:p>
    <w:p w14:paraId="091C35F4" w14:textId="77777777" w:rsidR="000D3A6C" w:rsidRDefault="000D3A6C" w:rsidP="0026335B">
      <w:pPr>
        <w:rPr>
          <w:rFonts w:asciiTheme="minorHAnsi" w:hAnsiTheme="minorHAnsi" w:cstheme="minorHAnsi"/>
        </w:rPr>
      </w:pPr>
    </w:p>
    <w:p w14:paraId="0F172294" w14:textId="459BE7E6" w:rsidR="0026335B" w:rsidRPr="00A87F4B" w:rsidRDefault="0026335B" w:rsidP="0026335B">
      <w:pPr>
        <w:rPr>
          <w:rFonts w:asciiTheme="minorHAnsi" w:hAnsiTheme="minorHAnsi" w:cstheme="minorHAnsi"/>
        </w:rPr>
      </w:pPr>
      <w:r w:rsidRPr="00A87F4B">
        <w:rPr>
          <w:rFonts w:asciiTheme="minorHAnsi" w:hAnsiTheme="minorHAnsi" w:cstheme="minorHAnsi"/>
        </w:rPr>
        <w:t>Outdated USDA regulations do not adequately reflect the negligible risk associated with current management practices and the temporary movement of these high-health, high-performance equine athletes. In response to documented barriers to international movement—and the recognized biosecurity measures used for horses competing in FEI events—the U.S. equine industry launched an effort to modernize regulations and policies governing the temporary international movement of equids for competition and racing. This three-pronged initiative includes legislation, a risk assessment, and a white paper.</w:t>
      </w:r>
    </w:p>
    <w:p w14:paraId="5249F694" w14:textId="77777777" w:rsidR="000D3A6C" w:rsidRDefault="000D3A6C" w:rsidP="0026335B">
      <w:pPr>
        <w:rPr>
          <w:rFonts w:asciiTheme="minorHAnsi" w:hAnsiTheme="minorHAnsi" w:cstheme="minorHAnsi"/>
        </w:rPr>
      </w:pPr>
    </w:p>
    <w:p w14:paraId="05963447" w14:textId="1A4E8B7D" w:rsidR="0026335B" w:rsidRPr="00A87F4B" w:rsidRDefault="0026335B" w:rsidP="0026335B">
      <w:pPr>
        <w:rPr>
          <w:rFonts w:asciiTheme="minorHAnsi" w:hAnsiTheme="minorHAnsi" w:cstheme="minorHAnsi"/>
        </w:rPr>
      </w:pPr>
      <w:r w:rsidRPr="00A87F4B">
        <w:rPr>
          <w:rFonts w:asciiTheme="minorHAnsi" w:hAnsiTheme="minorHAnsi" w:cstheme="minorHAnsi"/>
        </w:rPr>
        <w:t>On September 24, 2026, U.S. Representatives Paul Tonko (D-N.Y.) and Kat Cammack (R-Fla.) introduced H.R. 10611, the Temporary International Movement of Equines Act of 2026 (TIME Act of 2026). The bill directs USDA to recognize the high-health, high-performance horse subpopulation in accordance with the World Organisation for Animal Health’s Framework Standards for High Health High Performance Horses and to issue regulations for this subpopulation within 180 days of enactment.</w:t>
      </w:r>
    </w:p>
    <w:p w14:paraId="6E604E39" w14:textId="77777777" w:rsidR="0026335B" w:rsidRPr="00A87F4B" w:rsidRDefault="0026335B" w:rsidP="0026335B">
      <w:pPr>
        <w:rPr>
          <w:rFonts w:asciiTheme="minorHAnsi" w:hAnsiTheme="minorHAnsi" w:cstheme="minorHAnsi"/>
        </w:rPr>
      </w:pPr>
      <w:r w:rsidRPr="00A87F4B">
        <w:rPr>
          <w:rFonts w:asciiTheme="minorHAnsi" w:hAnsiTheme="minorHAnsi" w:cstheme="minorHAnsi"/>
        </w:rPr>
        <w:t xml:space="preserve">In August, EpiX Analytics, the company conducting the risk assessment, held its initial meeting with subject matter experts. The project has two phases: Phase 1 will identify entry and exposure pathways, and Phase 2 will use data to assess risk for High Health High Performance horse subpopulation. The </w:t>
      </w:r>
      <w:r w:rsidRPr="00A87F4B">
        <w:rPr>
          <w:rFonts w:asciiTheme="minorHAnsi" w:hAnsiTheme="minorHAnsi" w:cstheme="minorHAnsi"/>
        </w:rPr>
        <w:lastRenderedPageBreak/>
        <w:t>assessment focuses on contagious equine metritis, equine piroplasmosis, New World screwworm, and Venezuelan equine encephalitis.</w:t>
      </w:r>
    </w:p>
    <w:p w14:paraId="69C5E66B" w14:textId="77777777" w:rsidR="000D3A6C" w:rsidRDefault="000D3A6C" w:rsidP="0026335B">
      <w:pPr>
        <w:rPr>
          <w:rFonts w:asciiTheme="minorHAnsi" w:hAnsiTheme="minorHAnsi" w:cstheme="minorHAnsi"/>
        </w:rPr>
      </w:pPr>
    </w:p>
    <w:p w14:paraId="7FA5D704" w14:textId="7A856022" w:rsidR="0026335B" w:rsidRPr="00A87F4B" w:rsidRDefault="0026335B" w:rsidP="0026335B">
      <w:pPr>
        <w:rPr>
          <w:rFonts w:asciiTheme="minorHAnsi" w:hAnsiTheme="minorHAnsi" w:cstheme="minorHAnsi"/>
        </w:rPr>
      </w:pPr>
      <w:r w:rsidRPr="00A87F4B">
        <w:rPr>
          <w:rFonts w:asciiTheme="minorHAnsi" w:hAnsiTheme="minorHAnsi" w:cstheme="minorHAnsi"/>
        </w:rPr>
        <w:t>In 2026, a working group of the USAHA Committee on Equine explored how the HHHP Plan could be implemented in the United States. Members include state and federal animal health officials, transporters, and equine industry representatives with direct knowledge of and expertise in the high-health, high-performance horse subpopulation. The group focused on relevant diseases and mitigation measures, producing a draft white paper for detailed analysis and review in 2027.</w:t>
      </w:r>
    </w:p>
    <w:p w14:paraId="042A50B3" w14:textId="77777777" w:rsidR="000D3A6C" w:rsidRDefault="000D3A6C" w:rsidP="0026335B">
      <w:pPr>
        <w:rPr>
          <w:rFonts w:asciiTheme="minorHAnsi" w:hAnsiTheme="minorHAnsi" w:cstheme="minorHAnsi"/>
        </w:rPr>
      </w:pPr>
    </w:p>
    <w:p w14:paraId="1836AD77" w14:textId="682590A1" w:rsidR="0026335B" w:rsidRPr="00A87F4B" w:rsidRDefault="0026335B" w:rsidP="0026335B">
      <w:pPr>
        <w:rPr>
          <w:rFonts w:asciiTheme="minorHAnsi" w:hAnsiTheme="minorHAnsi" w:cstheme="minorHAnsi"/>
        </w:rPr>
      </w:pPr>
      <w:r w:rsidRPr="00A87F4B">
        <w:rPr>
          <w:rFonts w:asciiTheme="minorHAnsi" w:hAnsiTheme="minorHAnsi" w:cstheme="minorHAnsi"/>
        </w:rPr>
        <w:t xml:space="preserve">For more information about the international movement of competition horses, contact Dr. Katie Flynn at </w:t>
      </w:r>
      <w:hyperlink r:id="rId9" w:history="1">
        <w:r w:rsidRPr="00A87F4B">
          <w:rPr>
            <w:rStyle w:val="Hyperlink"/>
            <w:rFonts w:asciiTheme="minorHAnsi" w:hAnsiTheme="minorHAnsi" w:cstheme="minorHAnsi"/>
          </w:rPr>
          <w:t>kflynn@usef.org</w:t>
        </w:r>
      </w:hyperlink>
      <w:r w:rsidRPr="00A87F4B">
        <w:rPr>
          <w:rFonts w:asciiTheme="minorHAnsi" w:hAnsiTheme="minorHAnsi" w:cstheme="minorHAnsi"/>
        </w:rPr>
        <w:t>.</w:t>
      </w:r>
    </w:p>
    <w:p w14:paraId="04A96F32" w14:textId="77777777" w:rsidR="0026335B" w:rsidRPr="00A87F4B" w:rsidRDefault="0026335B" w:rsidP="0026335B">
      <w:pPr>
        <w:rPr>
          <w:rFonts w:asciiTheme="minorHAnsi" w:hAnsiTheme="minorHAnsi" w:cstheme="minorHAnsi"/>
        </w:rPr>
      </w:pPr>
      <w:r w:rsidRPr="00A87F4B">
        <w:rPr>
          <w:rFonts w:asciiTheme="minorHAnsi" w:hAnsiTheme="minorHAnsi" w:cstheme="minorHAnsi"/>
        </w:rPr>
        <w:t xml:space="preserve">Supplemental References: </w:t>
      </w:r>
    </w:p>
    <w:p w14:paraId="731B9725" w14:textId="77777777" w:rsidR="0026335B" w:rsidRPr="00A87F4B" w:rsidRDefault="0026335B" w:rsidP="0026335B">
      <w:pPr>
        <w:pStyle w:val="ListParagraph"/>
        <w:numPr>
          <w:ilvl w:val="0"/>
          <w:numId w:val="7"/>
        </w:numPr>
        <w:rPr>
          <w:rFonts w:cstheme="minorHAnsi"/>
          <w:sz w:val="22"/>
          <w:szCs w:val="22"/>
        </w:rPr>
      </w:pPr>
      <w:r w:rsidRPr="00A87F4B">
        <w:rPr>
          <w:rFonts w:cstheme="minorHAnsi"/>
          <w:sz w:val="22"/>
          <w:szCs w:val="22"/>
        </w:rPr>
        <w:t xml:space="preserve">H.R. 10611- TIME AT of 2026 </w:t>
      </w:r>
      <w:hyperlink r:id="rId10" w:history="1">
        <w:r w:rsidRPr="00A87F4B">
          <w:rPr>
            <w:rStyle w:val="Hyperlink"/>
            <w:rFonts w:cstheme="minorHAnsi"/>
            <w:sz w:val="22"/>
            <w:szCs w:val="22"/>
          </w:rPr>
          <w:t>https://www.congress.gov/bill/119th-congress/house-bill/10611</w:t>
        </w:r>
      </w:hyperlink>
    </w:p>
    <w:p w14:paraId="0482594F" w14:textId="77777777" w:rsidR="0026335B" w:rsidRPr="00A87F4B" w:rsidRDefault="0026335B" w:rsidP="0026335B">
      <w:pPr>
        <w:pStyle w:val="ListParagraph"/>
        <w:numPr>
          <w:ilvl w:val="0"/>
          <w:numId w:val="7"/>
        </w:numPr>
        <w:rPr>
          <w:rFonts w:cstheme="minorHAnsi"/>
          <w:sz w:val="22"/>
          <w:szCs w:val="22"/>
        </w:rPr>
      </w:pPr>
      <w:r w:rsidRPr="00A87F4B">
        <w:rPr>
          <w:rFonts w:cstheme="minorHAnsi"/>
          <w:sz w:val="22"/>
          <w:szCs w:val="22"/>
        </w:rPr>
        <w:t xml:space="preserve">WOAH High Health Performance Horse Framework: </w:t>
      </w:r>
      <w:hyperlink r:id="rId11" w:history="1">
        <w:r w:rsidRPr="00A87F4B">
          <w:rPr>
            <w:rStyle w:val="Hyperlink"/>
            <w:rFonts w:cstheme="minorHAnsi"/>
            <w:sz w:val="22"/>
            <w:szCs w:val="22"/>
          </w:rPr>
          <w:t>https://bulletin.woah.org/?panorama=03-1-hhp-en</w:t>
        </w:r>
      </w:hyperlink>
    </w:p>
    <w:p w14:paraId="2F2E642E" w14:textId="479C63C9" w:rsidR="008B47DF" w:rsidRPr="00A87F4B" w:rsidRDefault="0026335B" w:rsidP="0026335B">
      <w:pPr>
        <w:pStyle w:val="ListParagraph"/>
        <w:numPr>
          <w:ilvl w:val="0"/>
          <w:numId w:val="7"/>
        </w:numPr>
        <w:rPr>
          <w:rFonts w:cstheme="minorHAnsi"/>
          <w:sz w:val="22"/>
          <w:szCs w:val="22"/>
        </w:rPr>
      </w:pPr>
      <w:r w:rsidRPr="00A87F4B">
        <w:rPr>
          <w:rFonts w:cstheme="minorHAnsi"/>
          <w:sz w:val="22"/>
          <w:szCs w:val="22"/>
        </w:rPr>
        <w:t xml:space="preserve">WOAH Handbook for the management of High Health High Performance Horses </w:t>
      </w:r>
      <w:hyperlink r:id="rId12" w:history="1">
        <w:r w:rsidRPr="00A87F4B">
          <w:rPr>
            <w:rStyle w:val="Hyperlink"/>
            <w:rFonts w:cstheme="minorHAnsi"/>
            <w:sz w:val="22"/>
            <w:szCs w:val="22"/>
          </w:rPr>
          <w:t>https://www.woah.org/fileadmin/Home/eng/Our_scientific_expertise/docs/pdf/Chevaux/A_HHP_Handbook_Oct_2018.pdf</w:t>
        </w:r>
      </w:hyperlink>
    </w:p>
    <w:p w14:paraId="21C60CDC" w14:textId="77777777" w:rsidR="008B47DF" w:rsidRPr="00A87F4B" w:rsidRDefault="008B47DF" w:rsidP="008B47DF">
      <w:pPr>
        <w:rPr>
          <w:rFonts w:asciiTheme="minorHAnsi" w:hAnsiTheme="minorHAnsi" w:cstheme="minorHAnsi"/>
        </w:rPr>
      </w:pPr>
    </w:p>
    <w:p w14:paraId="45E806B9" w14:textId="77777777" w:rsidR="008B47DF" w:rsidRPr="00A87F4B" w:rsidRDefault="008B47DF" w:rsidP="008B47DF">
      <w:pPr>
        <w:rPr>
          <w:rFonts w:asciiTheme="minorHAnsi" w:hAnsiTheme="minorHAnsi" w:cstheme="minorHAnsi"/>
        </w:rPr>
      </w:pPr>
      <w:r w:rsidRPr="00A87F4B">
        <w:rPr>
          <w:rFonts w:asciiTheme="minorHAnsi" w:hAnsiTheme="minorHAnsi" w:cstheme="minorHAnsi"/>
          <w:b/>
          <w:bCs/>
        </w:rPr>
        <w:t>Business Session- Resolutions Review, SAHO EHM Incident Response Guidance Document for SAHOs and Charter</w:t>
      </w:r>
      <w:r w:rsidRPr="00A87F4B">
        <w:rPr>
          <w:rFonts w:asciiTheme="minorHAnsi" w:hAnsiTheme="minorHAnsi" w:cstheme="minorHAnsi"/>
        </w:rPr>
        <w:t xml:space="preserve"> with Joe Fisch, DVM and Micheal Odian, DVM</w:t>
      </w:r>
    </w:p>
    <w:p w14:paraId="7156C6E3" w14:textId="77777777" w:rsidR="008B47DF" w:rsidRPr="00A87F4B" w:rsidRDefault="008B47DF" w:rsidP="008B47DF">
      <w:pPr>
        <w:rPr>
          <w:rFonts w:asciiTheme="minorHAnsi" w:hAnsiTheme="minorHAnsi" w:cstheme="minorHAnsi"/>
        </w:rPr>
      </w:pPr>
    </w:p>
    <w:p w14:paraId="2918F0F2" w14:textId="12D7C8D1" w:rsidR="008B47DF" w:rsidRPr="00A87F4B" w:rsidRDefault="00812DA5" w:rsidP="008B47DF">
      <w:pPr>
        <w:rPr>
          <w:rFonts w:asciiTheme="minorHAnsi" w:hAnsiTheme="minorHAnsi" w:cstheme="minorHAnsi"/>
        </w:rPr>
      </w:pPr>
      <w:r w:rsidRPr="00A87F4B">
        <w:rPr>
          <w:rFonts w:asciiTheme="minorHAnsi" w:hAnsiTheme="minorHAnsi" w:cstheme="minorHAnsi"/>
          <w:highlight w:val="yellow"/>
        </w:rPr>
        <w:t>x</w:t>
      </w:r>
      <w:r w:rsidR="008B47DF" w:rsidRPr="00A87F4B">
        <w:rPr>
          <w:rFonts w:asciiTheme="minorHAnsi" w:hAnsiTheme="minorHAnsi" w:cstheme="minorHAnsi"/>
        </w:rPr>
        <w:t xml:space="preserve"> resolutions passed out of committee titled </w:t>
      </w:r>
      <w:r w:rsidR="00C30E47">
        <w:rPr>
          <w:rFonts w:asciiTheme="minorHAnsi" w:hAnsiTheme="minorHAnsi" w:cstheme="minorHAnsi"/>
        </w:rPr>
        <w:t>Canada Equine Import Requirements</w:t>
      </w:r>
      <w:r w:rsidR="00D11A22">
        <w:rPr>
          <w:rFonts w:asciiTheme="minorHAnsi" w:hAnsiTheme="minorHAnsi" w:cstheme="minorHAnsi"/>
        </w:rPr>
        <w:t>, Equine Data, NAHMS Equine Study Part 2 and New World Screwworm Matrix</w:t>
      </w:r>
      <w:r w:rsidR="008B47DF" w:rsidRPr="00A87F4B">
        <w:rPr>
          <w:rFonts w:asciiTheme="minorHAnsi" w:hAnsiTheme="minorHAnsi" w:cstheme="minorHAnsi"/>
        </w:rPr>
        <w:t>. The committee also approved</w:t>
      </w:r>
      <w:r w:rsidR="006801E6">
        <w:rPr>
          <w:rFonts w:asciiTheme="minorHAnsi" w:hAnsiTheme="minorHAnsi" w:cstheme="minorHAnsi"/>
        </w:rPr>
        <w:t xml:space="preserve"> responses </w:t>
      </w:r>
      <w:r w:rsidR="0053013B">
        <w:rPr>
          <w:rFonts w:asciiTheme="minorHAnsi" w:hAnsiTheme="minorHAnsi" w:cstheme="minorHAnsi"/>
        </w:rPr>
        <w:t>to the 2025 resolutions.</w:t>
      </w:r>
    </w:p>
    <w:p w14:paraId="545597C2" w14:textId="77777777" w:rsidR="008B47DF" w:rsidRPr="00A87F4B" w:rsidRDefault="008B47DF" w:rsidP="00EC6FC5">
      <w:pPr>
        <w:rPr>
          <w:rFonts w:asciiTheme="minorHAnsi" w:hAnsiTheme="minorHAnsi" w:cstheme="minorHAnsi"/>
        </w:rPr>
      </w:pPr>
    </w:p>
    <w:sectPr w:rsidR="008B47DF" w:rsidRPr="00A87F4B" w:rsidSect="005E327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12D60" w14:textId="77777777" w:rsidR="00C2501C" w:rsidRDefault="00C2501C" w:rsidP="00EC6FC5">
      <w:r>
        <w:separator/>
      </w:r>
    </w:p>
  </w:endnote>
  <w:endnote w:type="continuationSeparator" w:id="0">
    <w:p w14:paraId="159DFD9F" w14:textId="77777777" w:rsidR="00C2501C" w:rsidRDefault="00C2501C" w:rsidP="00EC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2880" w14:textId="77777777" w:rsidR="00C634A4" w:rsidRDefault="00C63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52A5" w14:textId="77777777" w:rsidR="00C634A4" w:rsidRDefault="00C63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93E2" w14:textId="77777777" w:rsidR="00C634A4" w:rsidRDefault="00C63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B6DDB" w14:textId="77777777" w:rsidR="00C2501C" w:rsidRDefault="00C2501C" w:rsidP="00EC6FC5">
      <w:r>
        <w:separator/>
      </w:r>
    </w:p>
  </w:footnote>
  <w:footnote w:type="continuationSeparator" w:id="0">
    <w:p w14:paraId="17709D03" w14:textId="77777777" w:rsidR="00C2501C" w:rsidRDefault="00C2501C" w:rsidP="00EC6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44F3" w14:textId="77777777" w:rsidR="00C634A4" w:rsidRDefault="00C63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36CC" w14:textId="3C135267" w:rsidR="00780AAB" w:rsidRPr="00E40F00" w:rsidRDefault="008924B8" w:rsidP="00EC6FC5">
    <w:pPr>
      <w:pStyle w:val="Header"/>
      <w:jc w:val="center"/>
      <w:rPr>
        <w:rFonts w:ascii="Garamond" w:hAnsi="Garamond"/>
        <w:b/>
        <w:i/>
        <w:sz w:val="24"/>
        <w:szCs w:val="24"/>
      </w:rPr>
    </w:pPr>
    <w:bookmarkStart w:id="2" w:name="_Hlk212106255"/>
    <w:bookmarkStart w:id="3" w:name="_Hlk212106256"/>
    <w:bookmarkStart w:id="4" w:name="_Hlk212106257"/>
    <w:bookmarkStart w:id="5" w:name="_Hlk212106258"/>
    <w:r>
      <w:rPr>
        <w:rFonts w:ascii="Garamond" w:hAnsi="Garamond"/>
        <w:b/>
        <w:i/>
        <w:sz w:val="24"/>
        <w:szCs w:val="24"/>
      </w:rPr>
      <w:t>1</w:t>
    </w:r>
    <w:r w:rsidR="00C634A4">
      <w:rPr>
        <w:rFonts w:ascii="Garamond" w:hAnsi="Garamond"/>
        <w:b/>
        <w:i/>
        <w:sz w:val="24"/>
        <w:szCs w:val="24"/>
      </w:rPr>
      <w:t>30</w:t>
    </w:r>
    <w:r w:rsidR="00780AAB" w:rsidRPr="00E40F00">
      <w:rPr>
        <w:rFonts w:ascii="Garamond" w:hAnsi="Garamond"/>
        <w:b/>
        <w:i/>
        <w:sz w:val="24"/>
        <w:szCs w:val="24"/>
        <w:vertAlign w:val="superscript"/>
      </w:rPr>
      <w:t>th</w:t>
    </w:r>
    <w:r w:rsidR="00A30774">
      <w:rPr>
        <w:rFonts w:ascii="Garamond" w:hAnsi="Garamond"/>
        <w:b/>
        <w:i/>
        <w:sz w:val="24"/>
        <w:szCs w:val="24"/>
      </w:rPr>
      <w:t xml:space="preserve"> </w:t>
    </w:r>
    <w:r w:rsidR="00780AAB" w:rsidRPr="00E40F00">
      <w:rPr>
        <w:rFonts w:ascii="Garamond" w:hAnsi="Garamond"/>
        <w:b/>
        <w:i/>
        <w:sz w:val="24"/>
        <w:szCs w:val="24"/>
      </w:rPr>
      <w:t xml:space="preserve">Annual Meeting of the United States Animal Health Association </w:t>
    </w:r>
  </w:p>
  <w:bookmarkEnd w:id="2"/>
  <w:bookmarkEnd w:id="3"/>
  <w:bookmarkEnd w:id="4"/>
  <w:bookmarkEnd w:id="5"/>
  <w:p w14:paraId="12700E72" w14:textId="75A7C670" w:rsidR="00780AAB" w:rsidRPr="00E40F00" w:rsidRDefault="001F3671" w:rsidP="00EC6FC5">
    <w:pPr>
      <w:pStyle w:val="Header"/>
      <w:jc w:val="center"/>
      <w:rPr>
        <w:rFonts w:ascii="Garamond" w:hAnsi="Garamond"/>
        <w:b/>
        <w:i/>
        <w:sz w:val="24"/>
        <w:szCs w:val="24"/>
      </w:rPr>
    </w:pPr>
    <w:r>
      <w:rPr>
        <w:rFonts w:ascii="Garamond" w:hAnsi="Garamond"/>
        <w:b/>
        <w:i/>
        <w:sz w:val="24"/>
        <w:szCs w:val="24"/>
      </w:rPr>
      <w:t>Madison, WI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29BE" w14:textId="77777777" w:rsidR="00C634A4" w:rsidRDefault="00C63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0A8"/>
    <w:multiLevelType w:val="hybridMultilevel"/>
    <w:tmpl w:val="88B895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08F6051"/>
    <w:multiLevelType w:val="hybridMultilevel"/>
    <w:tmpl w:val="5CB89924"/>
    <w:lvl w:ilvl="0" w:tplc="4A782EEC">
      <w:numFmt w:val="bullet"/>
      <w:lvlText w:val=""/>
      <w:lvlJc w:val="left"/>
      <w:pPr>
        <w:tabs>
          <w:tab w:val="num" w:pos="1080"/>
        </w:tabs>
        <w:ind w:left="1080" w:hanging="360"/>
      </w:pPr>
      <w:rPr>
        <w:rFonts w:ascii="Wingdings" w:hAnsi="Wingdings" w:hint="default"/>
      </w:rPr>
    </w:lvl>
    <w:lvl w:ilvl="1" w:tplc="FFFFFFFF">
      <w:numFmt w:val="bullet"/>
      <w:lvlText w:val=""/>
      <w:lvlJc w:val="left"/>
      <w:pPr>
        <w:tabs>
          <w:tab w:val="num" w:pos="1800"/>
        </w:tabs>
        <w:ind w:left="1800" w:hanging="360"/>
      </w:pPr>
      <w:rPr>
        <w:rFonts w:ascii="Wingdings" w:hAnsi="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Wingdings" w:hAnsi="Wingdings" w:hint="default"/>
      </w:rPr>
    </w:lvl>
    <w:lvl w:ilvl="4" w:tplc="FFFFFFFF" w:tentative="1">
      <w:start w:val="1"/>
      <w:numFmt w:val="bullet"/>
      <w:lvlText w:val=""/>
      <w:lvlJc w:val="left"/>
      <w:pPr>
        <w:tabs>
          <w:tab w:val="num" w:pos="3960"/>
        </w:tabs>
        <w:ind w:left="3960" w:hanging="360"/>
      </w:pPr>
      <w:rPr>
        <w:rFonts w:ascii="Wingdings" w:hAnsi="Wingding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Wingdings" w:hAnsi="Wingdings" w:hint="default"/>
      </w:rPr>
    </w:lvl>
    <w:lvl w:ilvl="7" w:tplc="FFFFFFFF" w:tentative="1">
      <w:start w:val="1"/>
      <w:numFmt w:val="bullet"/>
      <w:lvlText w:val=""/>
      <w:lvlJc w:val="left"/>
      <w:pPr>
        <w:tabs>
          <w:tab w:val="num" w:pos="6120"/>
        </w:tabs>
        <w:ind w:left="6120" w:hanging="360"/>
      </w:pPr>
      <w:rPr>
        <w:rFonts w:ascii="Wingdings" w:hAnsi="Wingdings"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0DC7BCF"/>
    <w:multiLevelType w:val="hybridMultilevel"/>
    <w:tmpl w:val="BCD60CF0"/>
    <w:lvl w:ilvl="0" w:tplc="04090001">
      <w:start w:val="1"/>
      <w:numFmt w:val="bullet"/>
      <w:lvlText w:val=""/>
      <w:lvlJc w:val="left"/>
      <w:pPr>
        <w:tabs>
          <w:tab w:val="num" w:pos="1080"/>
        </w:tabs>
        <w:ind w:left="1080" w:hanging="360"/>
      </w:pPr>
      <w:rPr>
        <w:rFonts w:ascii="Symbol" w:hAnsi="Symbol" w:hint="default"/>
      </w:rPr>
    </w:lvl>
    <w:lvl w:ilvl="1" w:tplc="4A782EEC">
      <w:numFmt w:val="bullet"/>
      <w:lvlText w:val=""/>
      <w:lvlJc w:val="left"/>
      <w:pPr>
        <w:tabs>
          <w:tab w:val="num" w:pos="1800"/>
        </w:tabs>
        <w:ind w:left="1800" w:hanging="360"/>
      </w:pPr>
      <w:rPr>
        <w:rFonts w:ascii="Wingdings" w:hAnsi="Wingdings" w:hint="default"/>
      </w:rPr>
    </w:lvl>
    <w:lvl w:ilvl="2" w:tplc="70D2C930" w:tentative="1">
      <w:start w:val="1"/>
      <w:numFmt w:val="bullet"/>
      <w:lvlText w:val=""/>
      <w:lvlJc w:val="left"/>
      <w:pPr>
        <w:tabs>
          <w:tab w:val="num" w:pos="2520"/>
        </w:tabs>
        <w:ind w:left="2520" w:hanging="360"/>
      </w:pPr>
      <w:rPr>
        <w:rFonts w:ascii="Wingdings" w:hAnsi="Wingdings" w:hint="default"/>
      </w:rPr>
    </w:lvl>
    <w:lvl w:ilvl="3" w:tplc="AF2E0E4C" w:tentative="1">
      <w:start w:val="1"/>
      <w:numFmt w:val="bullet"/>
      <w:lvlText w:val=""/>
      <w:lvlJc w:val="left"/>
      <w:pPr>
        <w:tabs>
          <w:tab w:val="num" w:pos="3240"/>
        </w:tabs>
        <w:ind w:left="3240" w:hanging="360"/>
      </w:pPr>
      <w:rPr>
        <w:rFonts w:ascii="Wingdings" w:hAnsi="Wingdings" w:hint="default"/>
      </w:rPr>
    </w:lvl>
    <w:lvl w:ilvl="4" w:tplc="EF2C0BF4" w:tentative="1">
      <w:start w:val="1"/>
      <w:numFmt w:val="bullet"/>
      <w:lvlText w:val=""/>
      <w:lvlJc w:val="left"/>
      <w:pPr>
        <w:tabs>
          <w:tab w:val="num" w:pos="3960"/>
        </w:tabs>
        <w:ind w:left="3960" w:hanging="360"/>
      </w:pPr>
      <w:rPr>
        <w:rFonts w:ascii="Wingdings" w:hAnsi="Wingdings" w:hint="default"/>
      </w:rPr>
    </w:lvl>
    <w:lvl w:ilvl="5" w:tplc="04F20524" w:tentative="1">
      <w:start w:val="1"/>
      <w:numFmt w:val="bullet"/>
      <w:lvlText w:val=""/>
      <w:lvlJc w:val="left"/>
      <w:pPr>
        <w:tabs>
          <w:tab w:val="num" w:pos="4680"/>
        </w:tabs>
        <w:ind w:left="4680" w:hanging="360"/>
      </w:pPr>
      <w:rPr>
        <w:rFonts w:ascii="Wingdings" w:hAnsi="Wingdings" w:hint="default"/>
      </w:rPr>
    </w:lvl>
    <w:lvl w:ilvl="6" w:tplc="827681F6" w:tentative="1">
      <w:start w:val="1"/>
      <w:numFmt w:val="bullet"/>
      <w:lvlText w:val=""/>
      <w:lvlJc w:val="left"/>
      <w:pPr>
        <w:tabs>
          <w:tab w:val="num" w:pos="5400"/>
        </w:tabs>
        <w:ind w:left="5400" w:hanging="360"/>
      </w:pPr>
      <w:rPr>
        <w:rFonts w:ascii="Wingdings" w:hAnsi="Wingdings" w:hint="default"/>
      </w:rPr>
    </w:lvl>
    <w:lvl w:ilvl="7" w:tplc="4B8A606E" w:tentative="1">
      <w:start w:val="1"/>
      <w:numFmt w:val="bullet"/>
      <w:lvlText w:val=""/>
      <w:lvlJc w:val="left"/>
      <w:pPr>
        <w:tabs>
          <w:tab w:val="num" w:pos="6120"/>
        </w:tabs>
        <w:ind w:left="6120" w:hanging="360"/>
      </w:pPr>
      <w:rPr>
        <w:rFonts w:ascii="Wingdings" w:hAnsi="Wingdings" w:hint="default"/>
      </w:rPr>
    </w:lvl>
    <w:lvl w:ilvl="8" w:tplc="ECDEC494"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AC4764F"/>
    <w:multiLevelType w:val="hybridMultilevel"/>
    <w:tmpl w:val="26948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D27EED"/>
    <w:multiLevelType w:val="hybridMultilevel"/>
    <w:tmpl w:val="4D341E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1222589"/>
    <w:multiLevelType w:val="hybridMultilevel"/>
    <w:tmpl w:val="853AA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672C3C"/>
    <w:multiLevelType w:val="multilevel"/>
    <w:tmpl w:val="68F0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C74549"/>
    <w:multiLevelType w:val="multilevel"/>
    <w:tmpl w:val="916A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591F62"/>
    <w:multiLevelType w:val="hybridMultilevel"/>
    <w:tmpl w:val="566E47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E732578"/>
    <w:multiLevelType w:val="hybridMultilevel"/>
    <w:tmpl w:val="6EC88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EF6561"/>
    <w:multiLevelType w:val="multilevel"/>
    <w:tmpl w:val="F64C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F62183"/>
    <w:multiLevelType w:val="hybridMultilevel"/>
    <w:tmpl w:val="B01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04540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2829639">
    <w:abstractNumId w:val="11"/>
  </w:num>
  <w:num w:numId="3" w16cid:durableId="1727415879">
    <w:abstractNumId w:val="9"/>
  </w:num>
  <w:num w:numId="4" w16cid:durableId="1791165981">
    <w:abstractNumId w:val="2"/>
  </w:num>
  <w:num w:numId="5" w16cid:durableId="1084182991">
    <w:abstractNumId w:val="1"/>
  </w:num>
  <w:num w:numId="6" w16cid:durableId="350960778">
    <w:abstractNumId w:val="5"/>
  </w:num>
  <w:num w:numId="7" w16cid:durableId="1031150545">
    <w:abstractNumId w:val="0"/>
  </w:num>
  <w:num w:numId="8" w16cid:durableId="1244873801">
    <w:abstractNumId w:val="7"/>
  </w:num>
  <w:num w:numId="9" w16cid:durableId="587539646">
    <w:abstractNumId w:val="10"/>
  </w:num>
  <w:num w:numId="10" w16cid:durableId="1087192949">
    <w:abstractNumId w:val="6"/>
  </w:num>
  <w:num w:numId="11" w16cid:durableId="396174692">
    <w:abstractNumId w:val="8"/>
  </w:num>
  <w:num w:numId="12" w16cid:durableId="755904752">
    <w:abstractNumId w:val="3"/>
  </w:num>
  <w:num w:numId="13" w16cid:durableId="16689408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FC5"/>
    <w:rsid w:val="00004F8B"/>
    <w:rsid w:val="00044AA1"/>
    <w:rsid w:val="000725B3"/>
    <w:rsid w:val="00072825"/>
    <w:rsid w:val="000974EA"/>
    <w:rsid w:val="000A5B8F"/>
    <w:rsid w:val="000B1214"/>
    <w:rsid w:val="000B3F3E"/>
    <w:rsid w:val="000C4668"/>
    <w:rsid w:val="000D3A6C"/>
    <w:rsid w:val="00100F19"/>
    <w:rsid w:val="001837CA"/>
    <w:rsid w:val="001D18E8"/>
    <w:rsid w:val="001F3671"/>
    <w:rsid w:val="002045DB"/>
    <w:rsid w:val="002208A6"/>
    <w:rsid w:val="00234961"/>
    <w:rsid w:val="00234AEC"/>
    <w:rsid w:val="00242CB5"/>
    <w:rsid w:val="0026335B"/>
    <w:rsid w:val="00270D13"/>
    <w:rsid w:val="002A4C04"/>
    <w:rsid w:val="002A580E"/>
    <w:rsid w:val="002D6A47"/>
    <w:rsid w:val="002E498C"/>
    <w:rsid w:val="002E697E"/>
    <w:rsid w:val="002F118E"/>
    <w:rsid w:val="002F473B"/>
    <w:rsid w:val="003079B7"/>
    <w:rsid w:val="00321DFE"/>
    <w:rsid w:val="003246F8"/>
    <w:rsid w:val="00352CA0"/>
    <w:rsid w:val="00356FE2"/>
    <w:rsid w:val="00361FF1"/>
    <w:rsid w:val="0036317E"/>
    <w:rsid w:val="00366105"/>
    <w:rsid w:val="00371715"/>
    <w:rsid w:val="00371F89"/>
    <w:rsid w:val="003805D8"/>
    <w:rsid w:val="0039311E"/>
    <w:rsid w:val="003B1D13"/>
    <w:rsid w:val="003C33B2"/>
    <w:rsid w:val="003D06E1"/>
    <w:rsid w:val="003D5212"/>
    <w:rsid w:val="003E0C1A"/>
    <w:rsid w:val="003F3F95"/>
    <w:rsid w:val="003F5927"/>
    <w:rsid w:val="00405922"/>
    <w:rsid w:val="00410CBB"/>
    <w:rsid w:val="00420991"/>
    <w:rsid w:val="00422924"/>
    <w:rsid w:val="00451476"/>
    <w:rsid w:val="00455998"/>
    <w:rsid w:val="00466631"/>
    <w:rsid w:val="004841A3"/>
    <w:rsid w:val="00495F4D"/>
    <w:rsid w:val="004A0D3E"/>
    <w:rsid w:val="004D3BF9"/>
    <w:rsid w:val="00513FB2"/>
    <w:rsid w:val="005158BD"/>
    <w:rsid w:val="0051715B"/>
    <w:rsid w:val="0053013B"/>
    <w:rsid w:val="005415B4"/>
    <w:rsid w:val="00555D71"/>
    <w:rsid w:val="00567856"/>
    <w:rsid w:val="00573247"/>
    <w:rsid w:val="00592FA9"/>
    <w:rsid w:val="005A32DF"/>
    <w:rsid w:val="005B0AE6"/>
    <w:rsid w:val="005C36E6"/>
    <w:rsid w:val="005D41F2"/>
    <w:rsid w:val="005E31D0"/>
    <w:rsid w:val="005E327D"/>
    <w:rsid w:val="00650F30"/>
    <w:rsid w:val="006711B4"/>
    <w:rsid w:val="006801E6"/>
    <w:rsid w:val="006B5661"/>
    <w:rsid w:val="006B633D"/>
    <w:rsid w:val="006C75F7"/>
    <w:rsid w:val="006E08EA"/>
    <w:rsid w:val="006F5291"/>
    <w:rsid w:val="00713E7E"/>
    <w:rsid w:val="00723190"/>
    <w:rsid w:val="00732AD5"/>
    <w:rsid w:val="00734A86"/>
    <w:rsid w:val="00736A58"/>
    <w:rsid w:val="00740229"/>
    <w:rsid w:val="0075544F"/>
    <w:rsid w:val="00760992"/>
    <w:rsid w:val="00766FEF"/>
    <w:rsid w:val="00770004"/>
    <w:rsid w:val="00780AAB"/>
    <w:rsid w:val="00790831"/>
    <w:rsid w:val="007B74D2"/>
    <w:rsid w:val="007C2E36"/>
    <w:rsid w:val="007C384A"/>
    <w:rsid w:val="007D0F96"/>
    <w:rsid w:val="007D5E54"/>
    <w:rsid w:val="007D740D"/>
    <w:rsid w:val="007E158A"/>
    <w:rsid w:val="007E242A"/>
    <w:rsid w:val="007E3656"/>
    <w:rsid w:val="00812DA5"/>
    <w:rsid w:val="008301B0"/>
    <w:rsid w:val="008430A3"/>
    <w:rsid w:val="00861908"/>
    <w:rsid w:val="008924B8"/>
    <w:rsid w:val="008A221A"/>
    <w:rsid w:val="008B0026"/>
    <w:rsid w:val="008B47DF"/>
    <w:rsid w:val="008C3087"/>
    <w:rsid w:val="008D7070"/>
    <w:rsid w:val="008E7578"/>
    <w:rsid w:val="008F5A79"/>
    <w:rsid w:val="00930C37"/>
    <w:rsid w:val="00933806"/>
    <w:rsid w:val="00934DD7"/>
    <w:rsid w:val="009432FB"/>
    <w:rsid w:val="00946289"/>
    <w:rsid w:val="00952DF5"/>
    <w:rsid w:val="009545B1"/>
    <w:rsid w:val="00955395"/>
    <w:rsid w:val="0097160C"/>
    <w:rsid w:val="00985866"/>
    <w:rsid w:val="00997A7E"/>
    <w:rsid w:val="009A10FE"/>
    <w:rsid w:val="009B3CB4"/>
    <w:rsid w:val="009B61A2"/>
    <w:rsid w:val="009E7A84"/>
    <w:rsid w:val="009F4259"/>
    <w:rsid w:val="009F4A99"/>
    <w:rsid w:val="00A208E6"/>
    <w:rsid w:val="00A20F0D"/>
    <w:rsid w:val="00A2644E"/>
    <w:rsid w:val="00A30774"/>
    <w:rsid w:val="00A4095A"/>
    <w:rsid w:val="00A43B38"/>
    <w:rsid w:val="00A758ED"/>
    <w:rsid w:val="00A75D18"/>
    <w:rsid w:val="00A87AC8"/>
    <w:rsid w:val="00A87F4B"/>
    <w:rsid w:val="00A96748"/>
    <w:rsid w:val="00AA6B55"/>
    <w:rsid w:val="00AB1460"/>
    <w:rsid w:val="00AB2171"/>
    <w:rsid w:val="00AC4DAD"/>
    <w:rsid w:val="00B03A4B"/>
    <w:rsid w:val="00B17070"/>
    <w:rsid w:val="00B250BF"/>
    <w:rsid w:val="00B274A8"/>
    <w:rsid w:val="00B301D8"/>
    <w:rsid w:val="00B32CF8"/>
    <w:rsid w:val="00B33047"/>
    <w:rsid w:val="00B677A8"/>
    <w:rsid w:val="00BE3006"/>
    <w:rsid w:val="00BE3F29"/>
    <w:rsid w:val="00BE7C89"/>
    <w:rsid w:val="00C074DB"/>
    <w:rsid w:val="00C2501C"/>
    <w:rsid w:val="00C30E47"/>
    <w:rsid w:val="00C409BF"/>
    <w:rsid w:val="00C476CC"/>
    <w:rsid w:val="00C604CD"/>
    <w:rsid w:val="00C634A4"/>
    <w:rsid w:val="00C83561"/>
    <w:rsid w:val="00C95A54"/>
    <w:rsid w:val="00C96286"/>
    <w:rsid w:val="00CA575E"/>
    <w:rsid w:val="00CA6673"/>
    <w:rsid w:val="00CB2A42"/>
    <w:rsid w:val="00CC21D0"/>
    <w:rsid w:val="00D02653"/>
    <w:rsid w:val="00D11A22"/>
    <w:rsid w:val="00D14A8C"/>
    <w:rsid w:val="00D2341A"/>
    <w:rsid w:val="00D31CA0"/>
    <w:rsid w:val="00D329D3"/>
    <w:rsid w:val="00D32FC9"/>
    <w:rsid w:val="00D367EE"/>
    <w:rsid w:val="00D42C87"/>
    <w:rsid w:val="00D52DE4"/>
    <w:rsid w:val="00D53F4C"/>
    <w:rsid w:val="00D63C8C"/>
    <w:rsid w:val="00D771FE"/>
    <w:rsid w:val="00D91EBA"/>
    <w:rsid w:val="00D92866"/>
    <w:rsid w:val="00DA1B87"/>
    <w:rsid w:val="00DB7A3F"/>
    <w:rsid w:val="00DC386B"/>
    <w:rsid w:val="00DE4FFE"/>
    <w:rsid w:val="00E00A7A"/>
    <w:rsid w:val="00E00C2B"/>
    <w:rsid w:val="00E1022F"/>
    <w:rsid w:val="00E14E9F"/>
    <w:rsid w:val="00E40F00"/>
    <w:rsid w:val="00E4725D"/>
    <w:rsid w:val="00E567D4"/>
    <w:rsid w:val="00E63D60"/>
    <w:rsid w:val="00E67170"/>
    <w:rsid w:val="00E679CC"/>
    <w:rsid w:val="00E718F2"/>
    <w:rsid w:val="00E721B8"/>
    <w:rsid w:val="00E83D66"/>
    <w:rsid w:val="00E86C5D"/>
    <w:rsid w:val="00E90330"/>
    <w:rsid w:val="00EA0FA2"/>
    <w:rsid w:val="00EC6FC5"/>
    <w:rsid w:val="00ED1109"/>
    <w:rsid w:val="00ED311E"/>
    <w:rsid w:val="00ED36CE"/>
    <w:rsid w:val="00F049B7"/>
    <w:rsid w:val="00F35D80"/>
    <w:rsid w:val="00F43C80"/>
    <w:rsid w:val="00F52827"/>
    <w:rsid w:val="00F75688"/>
    <w:rsid w:val="00F75E1B"/>
    <w:rsid w:val="00F841D2"/>
    <w:rsid w:val="00FC0F08"/>
    <w:rsid w:val="00FC2789"/>
    <w:rsid w:val="00FE21B1"/>
    <w:rsid w:val="00FE4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8D18"/>
  <w15:chartTrackingRefBased/>
  <w15:docId w15:val="{3AE042D2-1E36-4937-982A-730E30A7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D13"/>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FC5"/>
    <w:pPr>
      <w:tabs>
        <w:tab w:val="center" w:pos="4680"/>
        <w:tab w:val="right" w:pos="9360"/>
      </w:tabs>
    </w:pPr>
  </w:style>
  <w:style w:type="character" w:customStyle="1" w:styleId="HeaderChar">
    <w:name w:val="Header Char"/>
    <w:link w:val="Header"/>
    <w:uiPriority w:val="99"/>
    <w:rsid w:val="00EC6FC5"/>
    <w:rPr>
      <w:rFonts w:ascii="Arial" w:hAnsi="Arial"/>
    </w:rPr>
  </w:style>
  <w:style w:type="paragraph" w:styleId="Footer">
    <w:name w:val="footer"/>
    <w:basedOn w:val="Normal"/>
    <w:link w:val="FooterChar"/>
    <w:uiPriority w:val="99"/>
    <w:unhideWhenUsed/>
    <w:rsid w:val="00EC6FC5"/>
    <w:pPr>
      <w:tabs>
        <w:tab w:val="center" w:pos="4680"/>
        <w:tab w:val="right" w:pos="9360"/>
      </w:tabs>
    </w:pPr>
  </w:style>
  <w:style w:type="character" w:customStyle="1" w:styleId="FooterChar">
    <w:name w:val="Footer Char"/>
    <w:link w:val="Footer"/>
    <w:uiPriority w:val="99"/>
    <w:rsid w:val="00EC6FC5"/>
    <w:rPr>
      <w:rFonts w:ascii="Arial" w:hAnsi="Arial"/>
    </w:rPr>
  </w:style>
  <w:style w:type="table" w:styleId="TableGrid">
    <w:name w:val="Table Grid"/>
    <w:basedOn w:val="TableNormal"/>
    <w:uiPriority w:val="59"/>
    <w:rsid w:val="00EC6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E14E9F"/>
    <w:rPr>
      <w:color w:val="0563C1" w:themeColor="hyperlink"/>
      <w:u w:val="single"/>
    </w:rPr>
  </w:style>
  <w:style w:type="character" w:styleId="UnresolvedMention">
    <w:name w:val="Unresolved Mention"/>
    <w:basedOn w:val="DefaultParagraphFont"/>
    <w:uiPriority w:val="99"/>
    <w:semiHidden/>
    <w:unhideWhenUsed/>
    <w:rsid w:val="00E14E9F"/>
    <w:rPr>
      <w:color w:val="605E5C"/>
      <w:shd w:val="clear" w:color="auto" w:fill="E1DFDD"/>
    </w:rPr>
  </w:style>
  <w:style w:type="character" w:styleId="FollowedHyperlink">
    <w:name w:val="FollowedHyperlink"/>
    <w:basedOn w:val="DefaultParagraphFont"/>
    <w:uiPriority w:val="99"/>
    <w:semiHidden/>
    <w:unhideWhenUsed/>
    <w:rsid w:val="00D42C87"/>
    <w:rPr>
      <w:color w:val="954F72" w:themeColor="followedHyperlink"/>
      <w:u w:val="single"/>
    </w:rPr>
  </w:style>
  <w:style w:type="paragraph" w:styleId="ListParagraph">
    <w:name w:val="List Paragraph"/>
    <w:basedOn w:val="Normal"/>
    <w:uiPriority w:val="34"/>
    <w:qFormat/>
    <w:rsid w:val="0026335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paragraph" w:styleId="NormalWeb">
    <w:name w:val="Normal (Web)"/>
    <w:basedOn w:val="Normal"/>
    <w:uiPriority w:val="99"/>
    <w:semiHidden/>
    <w:unhideWhenUsed/>
    <w:rsid w:val="00592FA9"/>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592F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stearns@horscouncil.or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oah.org/fileadmin/Home/eng/Our_scientific_expertise/docs/pdf/Chevaux/A_HHP_Handbook_Oct_2018.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lletin.woah.org/?panorama=03-1-hhp-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ongress.gov/bill/119th-congress/house-bill/106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flynn@usef.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B26C-DA3C-47AB-88E1-1CED1F57B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2620</Words>
  <Characters>14939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USAHA Guest</cp:lastModifiedBy>
  <cp:revision>3</cp:revision>
  <dcterms:created xsi:type="dcterms:W3CDTF">2026-10-19T18:40:00Z</dcterms:created>
  <dcterms:modified xsi:type="dcterms:W3CDTF">2026-10-20T15:38:00Z</dcterms:modified>
</cp:coreProperties>
</file>