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2048D5FD" w:rsidR="008356A6" w:rsidRDefault="00072A07" w:rsidP="00072A07">
      <w:pPr>
        <w:pStyle w:val="Heading1"/>
      </w:pPr>
      <w:r>
        <w:t xml:space="preserve">COMMITTEE ON </w:t>
      </w:r>
      <w:r w:rsidR="00F245D2">
        <w:t>Foreign and Emerging Diseases</w:t>
      </w:r>
    </w:p>
    <w:p w14:paraId="082CFC8C" w14:textId="5B12F67E" w:rsidR="00072A07" w:rsidRDefault="00072A07" w:rsidP="00072A07">
      <w:pPr>
        <w:jc w:val="center"/>
      </w:pPr>
      <w:r>
        <w:t>Chair:</w:t>
      </w:r>
      <w:r w:rsidR="00F245D2">
        <w:t xml:space="preserve"> Dr. Anna Forseth</w:t>
      </w:r>
    </w:p>
    <w:p w14:paraId="0AAF48FD" w14:textId="18582CBD" w:rsidR="00072A07" w:rsidRDefault="00072A07" w:rsidP="00072A07">
      <w:pPr>
        <w:jc w:val="center"/>
      </w:pPr>
      <w:r>
        <w:t>Vice Chair:</w:t>
      </w:r>
      <w:r w:rsidR="00F245D2">
        <w:t xml:space="preserve"> Dr. Linda Logan</w:t>
      </w:r>
    </w:p>
    <w:p w14:paraId="334840E6" w14:textId="77777777" w:rsidR="00072A07" w:rsidRDefault="00072A07" w:rsidP="00072A07">
      <w:pPr>
        <w:jc w:val="center"/>
      </w:pPr>
    </w:p>
    <w:p w14:paraId="5BABA89B" w14:textId="3ECCA285" w:rsidR="00072A07" w:rsidRDefault="00072A07" w:rsidP="00072A07">
      <w:pPr>
        <w:jc w:val="center"/>
      </w:pPr>
      <w:r w:rsidRPr="00F245D2">
        <w:rPr>
          <w:highlight w:val="yellow"/>
        </w:rPr>
        <w:t>[USAHA Staff will enter your committee roster]</w:t>
      </w:r>
    </w:p>
    <w:p w14:paraId="1BABDEF5" w14:textId="77777777" w:rsidR="0095554B" w:rsidRDefault="0095554B" w:rsidP="00072A07">
      <w:pPr>
        <w:jc w:val="center"/>
      </w:pPr>
    </w:p>
    <w:p w14:paraId="07CD87DD" w14:textId="7E840A7B" w:rsidR="0095554B" w:rsidRDefault="0095554B" w:rsidP="00F245D2">
      <w:r>
        <w:t xml:space="preserve">The Committee met during the </w:t>
      </w:r>
      <w:r w:rsidR="00F245D2">
        <w:t xml:space="preserve">2026 </w:t>
      </w:r>
      <w:r>
        <w:t xml:space="preserve">Annual Meeting in </w:t>
      </w:r>
      <w:r w:rsidR="00F245D2">
        <w:t>Madison, Wisconsin</w:t>
      </w:r>
      <w:r>
        <w:t xml:space="preserve"> on October </w:t>
      </w:r>
      <w:r w:rsidR="00F245D2">
        <w:t>20</w:t>
      </w:r>
      <w:r w:rsidR="00F245D2" w:rsidRPr="00F245D2">
        <w:rPr>
          <w:vertAlign w:val="superscript"/>
        </w:rPr>
        <w:t>th</w:t>
      </w:r>
      <w:r>
        <w:t xml:space="preserve">. There were </w:t>
      </w:r>
      <w:r w:rsidRPr="00F245D2">
        <w:rPr>
          <w:highlight w:val="yellow"/>
        </w:rPr>
        <w:t>[X] members and [X] guests in attendance.</w:t>
      </w:r>
      <w:r>
        <w:t xml:space="preserve"> </w:t>
      </w:r>
    </w:p>
    <w:p w14:paraId="4010036D" w14:textId="77777777" w:rsidR="0095554B" w:rsidRDefault="0095554B" w:rsidP="0095554B"/>
    <w:p w14:paraId="39353F81" w14:textId="214ED1DE" w:rsidR="0095554B" w:rsidRDefault="00F245D2" w:rsidP="0095554B">
      <w:r>
        <w:t>Drs. Forseth and Logan offered opening welcome remarks, told attendees that no recording is allowed and reminded members of the virtual quarterly calls with a request to reach out with topic suggestions.</w:t>
      </w:r>
    </w:p>
    <w:p w14:paraId="514A5A30" w14:textId="77777777" w:rsidR="00F245D2" w:rsidRDefault="00F245D2" w:rsidP="0095554B"/>
    <w:p w14:paraId="49301A53" w14:textId="556ED11F" w:rsidR="00F245D2" w:rsidRDefault="00F245D2" w:rsidP="0095554B">
      <w:r>
        <w:t>Five individuals presented during the 2026 FED committee meeting.</w:t>
      </w:r>
    </w:p>
    <w:p w14:paraId="0963734F" w14:textId="77777777" w:rsidR="00300573" w:rsidRDefault="00300573" w:rsidP="00300573">
      <w:pPr>
        <w:rPr>
          <w:i/>
          <w:iCs/>
        </w:rPr>
      </w:pPr>
    </w:p>
    <w:p w14:paraId="31E00137" w14:textId="5041BC3A" w:rsidR="00300573" w:rsidRDefault="00300573" w:rsidP="00300573">
      <w:pPr>
        <w:rPr>
          <w:rFonts w:asciiTheme="minorHAnsi" w:hAnsiTheme="minorHAnsi"/>
          <w:b/>
          <w:bCs/>
          <w:sz w:val="22"/>
          <w:szCs w:val="22"/>
        </w:rPr>
      </w:pPr>
      <w:r w:rsidRPr="00300573">
        <w:rPr>
          <w:rFonts w:asciiTheme="minorHAnsi" w:hAnsiTheme="minorHAnsi"/>
          <w:b/>
          <w:bCs/>
          <w:sz w:val="22"/>
          <w:szCs w:val="22"/>
        </w:rPr>
        <w:t>Dr</w:t>
      </w:r>
      <w:r>
        <w:rPr>
          <w:rFonts w:asciiTheme="minorHAnsi" w:hAnsiTheme="minorHAnsi"/>
          <w:b/>
          <w:bCs/>
          <w:sz w:val="22"/>
          <w:szCs w:val="22"/>
        </w:rPr>
        <w:t xml:space="preserve">. </w:t>
      </w:r>
      <w:r w:rsidRPr="00300573">
        <w:rPr>
          <w:rFonts w:asciiTheme="minorHAnsi" w:hAnsiTheme="minorHAnsi"/>
          <w:b/>
          <w:bCs/>
          <w:sz w:val="22"/>
          <w:szCs w:val="22"/>
        </w:rPr>
        <w:t>Francisco Javier REVIRIEGO GORDEJO, European Commission</w:t>
      </w:r>
    </w:p>
    <w:p w14:paraId="5968793F" w14:textId="77777777" w:rsidR="00300573" w:rsidRPr="003D6E4E" w:rsidRDefault="00300573" w:rsidP="00300573">
      <w:pPr>
        <w:rPr>
          <w:rFonts w:asciiTheme="minorHAnsi" w:hAnsiTheme="minorHAnsi"/>
          <w:sz w:val="22"/>
          <w:szCs w:val="22"/>
        </w:rPr>
      </w:pPr>
      <w:r w:rsidRPr="003D6E4E">
        <w:rPr>
          <w:rFonts w:asciiTheme="minorHAnsi" w:hAnsiTheme="minorHAnsi"/>
          <w:sz w:val="22"/>
          <w:szCs w:val="22"/>
        </w:rPr>
        <w:t>A quick overview of the recent major transboundary animal diseases in the EU shows that the picture has changed significantly in the last years. While the EU enjoys a high animal health status, the animal disease situation is much more dynamic than before and presents new challenges.</w:t>
      </w:r>
    </w:p>
    <w:p w14:paraId="18003F47" w14:textId="77777777" w:rsidR="00300573" w:rsidRPr="003D6E4E" w:rsidRDefault="00300573" w:rsidP="00300573">
      <w:pPr>
        <w:rPr>
          <w:rFonts w:asciiTheme="minorHAnsi" w:hAnsiTheme="minorHAnsi"/>
          <w:sz w:val="22"/>
          <w:szCs w:val="22"/>
        </w:rPr>
      </w:pPr>
      <w:r w:rsidRPr="003D6E4E">
        <w:rPr>
          <w:rFonts w:asciiTheme="minorHAnsi" w:hAnsiTheme="minorHAnsi"/>
          <w:sz w:val="22"/>
          <w:szCs w:val="22"/>
        </w:rPr>
        <w:t xml:space="preserve">The persistence of ASF in a relatively wide area in the Eastern flank with some other limited and sporadic spots shows how difficult is to fight diseases when the wild populations are so hard to manage. The presence of other diseases appears to be strongly influenced by climate change (HPAI, WNV, LSD). Small ruminant diseases (PPR and SGP) indicates how vulnerable the EU is to a </w:t>
      </w:r>
      <w:proofErr w:type="spellStart"/>
      <w:r w:rsidRPr="003D6E4E">
        <w:rPr>
          <w:rFonts w:asciiTheme="minorHAnsi" w:hAnsiTheme="minorHAnsi"/>
          <w:sz w:val="22"/>
          <w:szCs w:val="22"/>
        </w:rPr>
        <w:t>neighbourhood</w:t>
      </w:r>
      <w:proofErr w:type="spellEnd"/>
      <w:r w:rsidRPr="003D6E4E">
        <w:rPr>
          <w:rFonts w:asciiTheme="minorHAnsi" w:hAnsiTheme="minorHAnsi"/>
          <w:sz w:val="22"/>
          <w:szCs w:val="22"/>
        </w:rPr>
        <w:t xml:space="preserve"> facing important epidemiological and sociological challenges. The different incursions of FMD also illustrate the variety and complexity of possible introduction pathways and the wide range of suitable control strategies. Rabies in wildlife highlights the geopolitical component of animal diseases epidemiology.</w:t>
      </w:r>
    </w:p>
    <w:p w14:paraId="5C885504" w14:textId="77777777" w:rsidR="00300573" w:rsidRPr="003D6E4E" w:rsidRDefault="00300573" w:rsidP="00300573">
      <w:pPr>
        <w:pBdr>
          <w:bottom w:val="single" w:sz="12" w:space="1" w:color="auto"/>
        </w:pBdr>
        <w:rPr>
          <w:rFonts w:asciiTheme="minorHAnsi" w:hAnsiTheme="minorHAnsi"/>
          <w:sz w:val="22"/>
          <w:szCs w:val="22"/>
        </w:rPr>
      </w:pPr>
      <w:r w:rsidRPr="003D6E4E">
        <w:rPr>
          <w:rFonts w:asciiTheme="minorHAnsi" w:hAnsiTheme="minorHAnsi"/>
          <w:sz w:val="22"/>
          <w:szCs w:val="22"/>
        </w:rPr>
        <w:t>Against these challenges the EU is deploying a very wide range of specific measures combining regionalization (always), strengthened biosecurity addressing in particular wildlife (HPAI, ASF), vaccination in different modalities: protective (HPAI), emergency suppressive (FMD), emergency preventive (FMD, SGP, PPR) or wildlife (rabies) and One Health surveillance (WNV).</w:t>
      </w:r>
    </w:p>
    <w:p w14:paraId="18DD11C3" w14:textId="77777777" w:rsidR="00300573" w:rsidRDefault="00300573" w:rsidP="00300573">
      <w:pPr>
        <w:rPr>
          <w:b/>
          <w:bCs/>
        </w:rPr>
      </w:pPr>
    </w:p>
    <w:p w14:paraId="62D48C9A" w14:textId="77777777" w:rsidR="00300573" w:rsidRPr="00300573" w:rsidRDefault="00300573" w:rsidP="00300573">
      <w:pPr>
        <w:rPr>
          <w:b/>
          <w:bCs/>
        </w:rPr>
      </w:pPr>
    </w:p>
    <w:p w14:paraId="6D9846BF" w14:textId="033F4B4C" w:rsidR="0095554B" w:rsidRPr="00F245D2" w:rsidRDefault="00300573" w:rsidP="00300573">
      <w:pPr>
        <w:rPr>
          <w:rFonts w:asciiTheme="minorHAnsi" w:hAnsiTheme="minorHAnsi" w:cstheme="minorHAnsi"/>
          <w:b/>
          <w:bCs/>
          <w:sz w:val="22"/>
          <w:szCs w:val="22"/>
        </w:rPr>
      </w:pPr>
      <w:r w:rsidRPr="00F245D2">
        <w:rPr>
          <w:rFonts w:asciiTheme="minorHAnsi" w:hAnsiTheme="minorHAnsi" w:cstheme="minorHAnsi"/>
          <w:b/>
          <w:bCs/>
          <w:sz w:val="22"/>
          <w:szCs w:val="22"/>
        </w:rPr>
        <w:t>Dr. Pascal Hudelet, Boehringer Ingelheim</w:t>
      </w:r>
    </w:p>
    <w:p w14:paraId="63896CA9" w14:textId="77777777" w:rsidR="00300573" w:rsidRPr="00F245D2" w:rsidRDefault="00300573" w:rsidP="00300573">
      <w:pPr>
        <w:spacing w:after="200"/>
        <w:rPr>
          <w:rFonts w:asciiTheme="minorHAnsi" w:hAnsiTheme="minorHAnsi" w:cstheme="minorHAnsi"/>
          <w:sz w:val="22"/>
          <w:szCs w:val="22"/>
        </w:rPr>
      </w:pPr>
      <w:r w:rsidRPr="00F245D2">
        <w:rPr>
          <w:rFonts w:asciiTheme="minorHAnsi" w:hAnsiTheme="minorHAnsi" w:cstheme="minorHAnsi"/>
          <w:sz w:val="22"/>
          <w:szCs w:val="22"/>
        </w:rPr>
        <w:t>Foot-and-mouth disease (FMD) remains one of the most infectious and economically disruptive animal diseases worldwide. Despite decades of control efforts, the global epidemiological situation has become increasingly complex. While traditional serotypes and lineages continue to circulate within their historical endemic pools, recent years have been characterized by unprecedented long-distance movements of viruses and the emergence of a transcontinental SAT1 epidemic that is reshaping the global FMD landscape.</w:t>
      </w:r>
    </w:p>
    <w:p w14:paraId="2A1A8868" w14:textId="77777777" w:rsidR="00300573" w:rsidRPr="00F245D2" w:rsidRDefault="00300573" w:rsidP="00300573">
      <w:pPr>
        <w:spacing w:after="200"/>
        <w:rPr>
          <w:rFonts w:asciiTheme="minorHAnsi" w:hAnsiTheme="minorHAnsi" w:cstheme="minorHAnsi"/>
          <w:sz w:val="22"/>
          <w:szCs w:val="22"/>
        </w:rPr>
      </w:pPr>
      <w:r w:rsidRPr="00F245D2">
        <w:rPr>
          <w:rFonts w:asciiTheme="minorHAnsi" w:hAnsiTheme="minorHAnsi" w:cstheme="minorHAnsi"/>
          <w:sz w:val="22"/>
          <w:szCs w:val="22"/>
        </w:rPr>
        <w:t xml:space="preserve">This presentation reviews the global FMD situation as of October 2026, highlighting outbreaks reported across Asia, the Middle East, Africa, and Europe. Particular attention is given to the expansion of SAT1 topotypes I and III from southern and eastern Africa into new regions, including the Middle East, China, Cyprus, and Greece. The spread of SAT1 has exposed major immunity gaps in endemic and FMD-free countries alike and has challenged existing preparedness, surveillance, and vaccine strategies. </w:t>
      </w:r>
    </w:p>
    <w:p w14:paraId="56EFBEAB" w14:textId="77777777" w:rsidR="00300573" w:rsidRPr="00F245D2" w:rsidRDefault="00300573" w:rsidP="00300573">
      <w:pPr>
        <w:spacing w:after="200"/>
        <w:rPr>
          <w:rFonts w:asciiTheme="minorHAnsi" w:hAnsiTheme="minorHAnsi" w:cstheme="minorHAnsi"/>
          <w:sz w:val="22"/>
          <w:szCs w:val="22"/>
        </w:rPr>
      </w:pPr>
      <w:r w:rsidRPr="00F245D2">
        <w:rPr>
          <w:rFonts w:asciiTheme="minorHAnsi" w:hAnsiTheme="minorHAnsi" w:cstheme="minorHAnsi"/>
          <w:sz w:val="22"/>
          <w:szCs w:val="22"/>
        </w:rPr>
        <w:t xml:space="preserve">The presentation explores the drivers behind this increasingly unstable epidemiological situation, including intensifying movements of animals, people, and goods; geopolitical disruptions and changing trade routes; declining surveillance and reporting activities; limited compliance with international standards; vaccine-related challenges; and the unique biological characteristics of SAT viruses. Evidence </w:t>
      </w:r>
      <w:r w:rsidRPr="00F245D2">
        <w:rPr>
          <w:rFonts w:asciiTheme="minorHAnsi" w:hAnsiTheme="minorHAnsi" w:cstheme="minorHAnsi"/>
          <w:sz w:val="22"/>
          <w:szCs w:val="22"/>
        </w:rPr>
        <w:lastRenderedPageBreak/>
        <w:t xml:space="preserve">suggests that these factors are facilitating trans-pool virus movements at a scale rarely observed historically. </w:t>
      </w:r>
    </w:p>
    <w:p w14:paraId="46728B80" w14:textId="77777777" w:rsidR="00300573" w:rsidRPr="00F245D2" w:rsidRDefault="00300573" w:rsidP="00300573">
      <w:pPr>
        <w:pBdr>
          <w:bottom w:val="single" w:sz="12" w:space="1" w:color="auto"/>
        </w:pBdr>
        <w:rPr>
          <w:rFonts w:asciiTheme="minorHAnsi" w:hAnsiTheme="minorHAnsi" w:cstheme="minorHAnsi"/>
          <w:sz w:val="22"/>
          <w:szCs w:val="22"/>
        </w:rPr>
      </w:pPr>
      <w:r w:rsidRPr="00F245D2">
        <w:rPr>
          <w:rFonts w:asciiTheme="minorHAnsi" w:hAnsiTheme="minorHAnsi" w:cstheme="minorHAnsi"/>
          <w:sz w:val="22"/>
          <w:szCs w:val="22"/>
        </w:rPr>
        <w:t>Finally, future trends and risks are discussed, including continued geographic expansion of SAT1, increasing threats to FMD-free regions, and the need for stronger surveillance, rapid reporting, movement controls, biosecurity, and access to high-quality vaccines. The current situation demonstrates that sustained prevention and preparedness remain far less costly than responding to expanding epidemics</w:t>
      </w:r>
    </w:p>
    <w:p w14:paraId="29B341BE" w14:textId="77777777" w:rsidR="00300573" w:rsidRDefault="00300573" w:rsidP="00300573"/>
    <w:p w14:paraId="3F3D7ED8" w14:textId="7BEF62EE" w:rsidR="00300573" w:rsidRPr="00F245D2" w:rsidRDefault="00300573" w:rsidP="00F245D2">
      <w:pPr>
        <w:rPr>
          <w:rFonts w:asciiTheme="minorHAnsi" w:hAnsiTheme="minorHAnsi" w:cstheme="minorHAnsi"/>
          <w:b/>
          <w:bCs/>
          <w:sz w:val="22"/>
          <w:szCs w:val="22"/>
        </w:rPr>
      </w:pPr>
      <w:r w:rsidRPr="00F245D2">
        <w:rPr>
          <w:rFonts w:asciiTheme="minorHAnsi" w:hAnsiTheme="minorHAnsi" w:cstheme="minorHAnsi"/>
          <w:b/>
          <w:bCs/>
          <w:sz w:val="22"/>
          <w:szCs w:val="22"/>
        </w:rPr>
        <w:t xml:space="preserve">Dr. Dana Cole, USDA-APHIS Wildlife Services </w:t>
      </w:r>
    </w:p>
    <w:p w14:paraId="2477E992" w14:textId="77777777" w:rsidR="00300573" w:rsidRPr="00F245D2" w:rsidRDefault="00300573" w:rsidP="00F245D2">
      <w:pPr>
        <w:rPr>
          <w:rFonts w:asciiTheme="minorHAnsi" w:hAnsiTheme="minorHAnsi" w:cstheme="minorHAnsi"/>
          <w:sz w:val="22"/>
          <w:szCs w:val="22"/>
        </w:rPr>
      </w:pPr>
      <w:r w:rsidRPr="00F245D2">
        <w:rPr>
          <w:rFonts w:asciiTheme="minorHAnsi" w:hAnsiTheme="minorHAnsi" w:cstheme="minorHAnsi"/>
          <w:sz w:val="22"/>
          <w:szCs w:val="22"/>
        </w:rPr>
        <w:t xml:space="preserve">APHIS Wildlife Services (WS) is experienced in emergency management and foreign animal disease outbreak response, and is leading efforts to prevent, detect, and eliminate disease in feral swine if a foreign animal disease is introduced. Since African swine fever was detected in Hispaniola in 2021, the National Feral Swine Damage Management Program (NFSP) has continually expanded feral swine surveillance, developed a national trap bank </w:t>
      </w:r>
      <w:proofErr w:type="spellStart"/>
      <w:r w:rsidRPr="00F245D2">
        <w:rPr>
          <w:rFonts w:asciiTheme="minorHAnsi" w:hAnsiTheme="minorHAnsi" w:cstheme="minorHAnsi"/>
          <w:sz w:val="22"/>
          <w:szCs w:val="22"/>
        </w:rPr>
        <w:t>bank</w:t>
      </w:r>
      <w:proofErr w:type="spellEnd"/>
      <w:r w:rsidRPr="00F245D2">
        <w:rPr>
          <w:rFonts w:asciiTheme="minorHAnsi" w:hAnsiTheme="minorHAnsi" w:cstheme="minorHAnsi"/>
          <w:sz w:val="22"/>
          <w:szCs w:val="22"/>
        </w:rPr>
        <w:t xml:space="preserve">, trained personnel in emergency </w:t>
      </w:r>
      <w:proofErr w:type="spellStart"/>
      <w:r w:rsidRPr="00F245D2">
        <w:rPr>
          <w:rFonts w:asciiTheme="minorHAnsi" w:hAnsiTheme="minorHAnsi" w:cstheme="minorHAnsi"/>
          <w:sz w:val="22"/>
          <w:szCs w:val="22"/>
        </w:rPr>
        <w:t>respone</w:t>
      </w:r>
      <w:proofErr w:type="spellEnd"/>
      <w:r w:rsidRPr="00F245D2">
        <w:rPr>
          <w:rFonts w:asciiTheme="minorHAnsi" w:hAnsiTheme="minorHAnsi" w:cstheme="minorHAnsi"/>
          <w:sz w:val="22"/>
          <w:szCs w:val="22"/>
        </w:rPr>
        <w:t xml:space="preserve">, and assessed field challenges with outbreak response during a mock FAD field response. Recently, a team of APHIS staff from WS and Veterinary Services traveled to Italy to meet with authorities and observe efforts to manage the </w:t>
      </w:r>
      <w:proofErr w:type="spellStart"/>
      <w:r w:rsidRPr="00F245D2">
        <w:rPr>
          <w:rFonts w:asciiTheme="minorHAnsi" w:hAnsiTheme="minorHAnsi" w:cstheme="minorHAnsi"/>
          <w:sz w:val="22"/>
          <w:szCs w:val="22"/>
        </w:rPr>
        <w:t>Afican</w:t>
      </w:r>
      <w:proofErr w:type="spellEnd"/>
      <w:r w:rsidRPr="00F245D2">
        <w:rPr>
          <w:rFonts w:asciiTheme="minorHAnsi" w:hAnsiTheme="minorHAnsi" w:cstheme="minorHAnsi"/>
          <w:sz w:val="22"/>
          <w:szCs w:val="22"/>
        </w:rPr>
        <w:t xml:space="preserve"> swine fever outbreak in wild boar. </w:t>
      </w:r>
    </w:p>
    <w:p w14:paraId="4B1F561D" w14:textId="77777777" w:rsidR="00F245D2" w:rsidRDefault="00F245D2" w:rsidP="00F245D2">
      <w:pPr>
        <w:pBdr>
          <w:bottom w:val="single" w:sz="12" w:space="1" w:color="auto"/>
        </w:pBdr>
        <w:rPr>
          <w:rFonts w:asciiTheme="minorHAnsi" w:hAnsiTheme="minorHAnsi" w:cstheme="minorHAnsi"/>
          <w:sz w:val="22"/>
          <w:szCs w:val="22"/>
        </w:rPr>
      </w:pPr>
    </w:p>
    <w:p w14:paraId="27484E6C" w14:textId="5B4397B1" w:rsidR="00300573" w:rsidRPr="00F245D2" w:rsidRDefault="00300573" w:rsidP="00F245D2">
      <w:pPr>
        <w:pBdr>
          <w:bottom w:val="single" w:sz="12" w:space="1" w:color="auto"/>
        </w:pBdr>
        <w:rPr>
          <w:rFonts w:asciiTheme="minorHAnsi" w:hAnsiTheme="minorHAnsi" w:cstheme="minorHAnsi"/>
          <w:sz w:val="22"/>
          <w:szCs w:val="22"/>
        </w:rPr>
      </w:pPr>
      <w:r w:rsidRPr="00F245D2">
        <w:rPr>
          <w:rFonts w:asciiTheme="minorHAnsi" w:hAnsiTheme="minorHAnsi" w:cstheme="minorHAnsi"/>
          <w:sz w:val="22"/>
          <w:szCs w:val="22"/>
        </w:rPr>
        <w:t>Since 2016, NFSP has genetically characterized over 23,000 samples collected from feral swine removed from the landscape as part of the WS feral swine management. Network analysis of these samples is providing insights into patterns of movement of feral swine across the United States, and these are being incorporated into the design of our national surveillance strategy in fiscal year 2027 to increase surveillance in high risk areas of the United States. In addition, WS is providing genetic characterization and technical support to states interested in identifying translocated feral swine in transit or in commercial facilities.</w:t>
      </w:r>
    </w:p>
    <w:p w14:paraId="75D5B9F3" w14:textId="77777777" w:rsidR="00300573" w:rsidRDefault="00300573" w:rsidP="0095554B">
      <w:pPr>
        <w:rPr>
          <w:b/>
          <w:bCs/>
        </w:rPr>
      </w:pPr>
    </w:p>
    <w:p w14:paraId="2D62D69E" w14:textId="5B909589" w:rsidR="00300573" w:rsidRDefault="00300573" w:rsidP="0095554B">
      <w:pPr>
        <w:rPr>
          <w:b/>
          <w:bCs/>
        </w:rPr>
      </w:pPr>
      <w:r>
        <w:rPr>
          <w:b/>
          <w:bCs/>
        </w:rPr>
        <w:t>Dr. Karyn Havas, USDA Agriculture Research Service</w:t>
      </w:r>
    </w:p>
    <w:p w14:paraId="353DEE0C" w14:textId="77777777" w:rsidR="00300573" w:rsidRPr="003D6E4E" w:rsidRDefault="00300573" w:rsidP="00300573">
      <w:pPr>
        <w:pBdr>
          <w:bottom w:val="single" w:sz="12" w:space="1" w:color="auto"/>
        </w:pBdr>
        <w:rPr>
          <w:rFonts w:asciiTheme="minorHAnsi" w:hAnsiTheme="minorHAnsi"/>
          <w:sz w:val="22"/>
          <w:szCs w:val="22"/>
        </w:rPr>
      </w:pPr>
      <w:r w:rsidRPr="003D6E4E">
        <w:rPr>
          <w:rFonts w:asciiTheme="minorHAnsi" w:hAnsiTheme="minorHAnsi"/>
          <w:sz w:val="22"/>
          <w:szCs w:val="22"/>
        </w:rPr>
        <w:t xml:space="preserve">ARS conducts research activities on foreign animal diseases at four facilities. The Animal Disease Research Unit in Pullman, Washington conducts research to address </w:t>
      </w:r>
      <w:r w:rsidRPr="003D6E4E">
        <w:rPr>
          <w:rFonts w:asciiTheme="minorHAnsi" w:hAnsiTheme="minorHAnsi"/>
          <w:i/>
          <w:iCs/>
          <w:sz w:val="22"/>
          <w:szCs w:val="22"/>
        </w:rPr>
        <w:t>Babesia</w:t>
      </w:r>
      <w:r w:rsidRPr="003D6E4E">
        <w:rPr>
          <w:rFonts w:asciiTheme="minorHAnsi" w:hAnsiTheme="minorHAnsi"/>
          <w:sz w:val="22"/>
          <w:szCs w:val="22"/>
        </w:rPr>
        <w:t xml:space="preserve"> and </w:t>
      </w:r>
      <w:proofErr w:type="spellStart"/>
      <w:r w:rsidRPr="003D6E4E">
        <w:rPr>
          <w:rFonts w:asciiTheme="minorHAnsi" w:hAnsiTheme="minorHAnsi"/>
          <w:i/>
          <w:iCs/>
          <w:sz w:val="22"/>
          <w:szCs w:val="22"/>
        </w:rPr>
        <w:t>Theileria</w:t>
      </w:r>
      <w:proofErr w:type="spellEnd"/>
      <w:r w:rsidRPr="003D6E4E">
        <w:rPr>
          <w:rFonts w:asciiTheme="minorHAnsi" w:hAnsiTheme="minorHAnsi"/>
          <w:i/>
          <w:iCs/>
          <w:sz w:val="22"/>
          <w:szCs w:val="22"/>
        </w:rPr>
        <w:t xml:space="preserve"> </w:t>
      </w:r>
      <w:r w:rsidRPr="003D6E4E">
        <w:rPr>
          <w:rFonts w:asciiTheme="minorHAnsi" w:hAnsiTheme="minorHAnsi"/>
          <w:sz w:val="22"/>
          <w:szCs w:val="22"/>
        </w:rPr>
        <w:t xml:space="preserve">species. The National Animal Disease Center has responded to the need for research on HPAI in livestock through the Virus and Prion Research Unit, the Ruminant Disease and Immunology Research Unit (RDIRU), and the Infectious Bacterial Disease Research Unit. The RDIRU also continues to do work on contagious bovine </w:t>
      </w:r>
      <w:proofErr w:type="spellStart"/>
      <w:r w:rsidRPr="003D6E4E">
        <w:rPr>
          <w:rFonts w:asciiTheme="minorHAnsi" w:hAnsiTheme="minorHAnsi"/>
          <w:sz w:val="22"/>
          <w:szCs w:val="22"/>
        </w:rPr>
        <w:t>pleuropneumoniae</w:t>
      </w:r>
      <w:proofErr w:type="spellEnd"/>
      <w:r w:rsidRPr="003D6E4E">
        <w:rPr>
          <w:rFonts w:asciiTheme="minorHAnsi" w:hAnsiTheme="minorHAnsi"/>
          <w:sz w:val="22"/>
          <w:szCs w:val="22"/>
        </w:rPr>
        <w:t xml:space="preserve">. The US National Poultry Research Center's Exotic and Emerging Avian Emerging Disease Research Unit conducts research on avian influenza and virulent Newcastle disease in Athens, Georgia. We have two groups in Manhattan, Kansas. At the Center for Grain and Animal Health Research is home to the Arthropod Borne Animal Disease Research Unit (ABADRU). ABADRU works on vesicular stomatitis virus along with the foreign arthropod borne animal disease research unit (FABADRU). FABADRU is a unit within the National Bio and </w:t>
      </w:r>
      <w:proofErr w:type="spellStart"/>
      <w:r w:rsidRPr="003D6E4E">
        <w:rPr>
          <w:rFonts w:asciiTheme="minorHAnsi" w:hAnsiTheme="minorHAnsi"/>
          <w:sz w:val="22"/>
          <w:szCs w:val="22"/>
        </w:rPr>
        <w:t>Agro</w:t>
      </w:r>
      <w:proofErr w:type="spellEnd"/>
      <w:r w:rsidRPr="003D6E4E">
        <w:rPr>
          <w:rFonts w:asciiTheme="minorHAnsi" w:hAnsiTheme="minorHAnsi"/>
          <w:sz w:val="22"/>
          <w:szCs w:val="22"/>
        </w:rPr>
        <w:t xml:space="preserve">-Defense Facility (NBAF). They also work on Japanese encephalitis virus and Rift Valley fever. Other units in NBAF are the Zoonotic and Emerging Disease Research Unit (ZEDRU) and the Foreign Animal Disease Research Unit (FADRU). ZEDRU's research focuses on Crimean Congo hemorrhagic fever and </w:t>
      </w:r>
      <w:proofErr w:type="spellStart"/>
      <w:r w:rsidRPr="003D6E4E">
        <w:rPr>
          <w:rFonts w:asciiTheme="minorHAnsi" w:hAnsiTheme="minorHAnsi"/>
          <w:sz w:val="22"/>
          <w:szCs w:val="22"/>
        </w:rPr>
        <w:t>henipavirus</w:t>
      </w:r>
      <w:proofErr w:type="spellEnd"/>
      <w:r w:rsidRPr="003D6E4E">
        <w:rPr>
          <w:rFonts w:asciiTheme="minorHAnsi" w:hAnsiTheme="minorHAnsi"/>
          <w:sz w:val="22"/>
          <w:szCs w:val="22"/>
        </w:rPr>
        <w:t>.  FADRU relocated from the Plum Island Animal Disease Unit to NBAF and is home to the African swine fever, classical swine fever, and foot-and-mouth disease research. This presentation provides a brief summary update on this work.</w:t>
      </w:r>
    </w:p>
    <w:p w14:paraId="28F40A5A" w14:textId="77777777" w:rsidR="00300573" w:rsidRDefault="00300573" w:rsidP="0095554B">
      <w:pPr>
        <w:rPr>
          <w:b/>
          <w:bCs/>
        </w:rPr>
      </w:pPr>
    </w:p>
    <w:p w14:paraId="3F112DB1" w14:textId="38C726DD" w:rsidR="00300573" w:rsidRDefault="00300573" w:rsidP="0095554B">
      <w:pPr>
        <w:rPr>
          <w:b/>
          <w:bCs/>
        </w:rPr>
      </w:pPr>
      <w:r>
        <w:rPr>
          <w:b/>
          <w:bCs/>
        </w:rPr>
        <w:t xml:space="preserve">Dr. Corrie Brown, </w:t>
      </w:r>
      <w:proofErr w:type="spellStart"/>
      <w:r>
        <w:rPr>
          <w:b/>
          <w:bCs/>
        </w:rPr>
        <w:t>LifeStock</w:t>
      </w:r>
      <w:proofErr w:type="spellEnd"/>
      <w:r>
        <w:rPr>
          <w:b/>
          <w:bCs/>
        </w:rPr>
        <w:t xml:space="preserve"> Int</w:t>
      </w:r>
      <w:r w:rsidR="00F245D2">
        <w:rPr>
          <w:b/>
          <w:bCs/>
        </w:rPr>
        <w:t>’</w:t>
      </w:r>
      <w:r>
        <w:rPr>
          <w:b/>
          <w:bCs/>
        </w:rPr>
        <w:t>l</w:t>
      </w:r>
    </w:p>
    <w:p w14:paraId="4CEBA060" w14:textId="77777777" w:rsidR="00300573" w:rsidRPr="00F245D2" w:rsidRDefault="00300573" w:rsidP="00F245D2">
      <w:pPr>
        <w:spacing w:after="160"/>
        <w:rPr>
          <w:rFonts w:asciiTheme="minorHAnsi" w:hAnsiTheme="minorHAnsi" w:cstheme="minorHAnsi"/>
          <w:sz w:val="22"/>
          <w:szCs w:val="22"/>
        </w:rPr>
      </w:pPr>
      <w:r w:rsidRPr="00F245D2">
        <w:rPr>
          <w:rFonts w:asciiTheme="minorHAnsi" w:hAnsiTheme="minorHAnsi" w:cstheme="minorHAnsi"/>
          <w:sz w:val="22"/>
          <w:szCs w:val="22"/>
        </w:rPr>
        <w:t xml:space="preserve">The Global Partnership for Animal and Zoonotic Disease Surveillance (GPAZDS), was established by USDA-APHIS-NVSL-FADDL, using USDA NBAF funds, specifically to promote preparedness and response </w:t>
      </w:r>
      <w:r w:rsidRPr="00F245D2">
        <w:rPr>
          <w:rFonts w:asciiTheme="minorHAnsi" w:hAnsiTheme="minorHAnsi" w:cstheme="minorHAnsi"/>
          <w:sz w:val="22"/>
          <w:szCs w:val="22"/>
        </w:rPr>
        <w:lastRenderedPageBreak/>
        <w:t xml:space="preserve">capacities in the event of a Transboundary Animal Disease (TAD) or Emerging Zoonosis (EZ) entering the US.  Initially, in 2022, 9 institutions around the world were recruited to receive modest funding for investigating some aspect of a TAD or EZ, while building capacity at the same time. The first round was met with excellent success, which led to funding of a second round, and beginning May 2026, a third round is underway. Eleven institutions are now involved, including several in West Africa, one in East Africa, one in the Middle East, and two in Asia. Partners have been publishing their work, highlighting their findings, and providing new information for the world. The partnership demonstrates the value of conducting research on the pathogens in endemic environments. And sharing of materials with FADDL is enhancing USDA preparedness. </w:t>
      </w:r>
      <w:proofErr w:type="spellStart"/>
      <w:r w:rsidRPr="00F245D2">
        <w:rPr>
          <w:rFonts w:asciiTheme="minorHAnsi" w:hAnsiTheme="minorHAnsi" w:cstheme="minorHAnsi"/>
          <w:sz w:val="22"/>
          <w:szCs w:val="22"/>
        </w:rPr>
        <w:t>LifeStock</w:t>
      </w:r>
      <w:proofErr w:type="spellEnd"/>
      <w:r w:rsidRPr="00F245D2">
        <w:rPr>
          <w:rFonts w:asciiTheme="minorHAnsi" w:hAnsiTheme="minorHAnsi" w:cstheme="minorHAnsi"/>
          <w:sz w:val="22"/>
          <w:szCs w:val="22"/>
        </w:rPr>
        <w:t xml:space="preserve"> International serves as the implementing partner for this program. </w:t>
      </w:r>
    </w:p>
    <w:p w14:paraId="0674730C" w14:textId="77777777" w:rsidR="00300573" w:rsidRPr="00F245D2" w:rsidRDefault="00300573" w:rsidP="00300573">
      <w:pPr>
        <w:spacing w:after="160" w:line="256" w:lineRule="auto"/>
        <w:rPr>
          <w:rFonts w:asciiTheme="minorHAnsi" w:hAnsiTheme="minorHAnsi" w:cstheme="minorHAnsi"/>
          <w:b/>
          <w:bCs/>
          <w:sz w:val="22"/>
          <w:szCs w:val="22"/>
        </w:rPr>
      </w:pPr>
      <w:r w:rsidRPr="00F245D2">
        <w:rPr>
          <w:rFonts w:asciiTheme="minorHAnsi" w:hAnsiTheme="minorHAnsi" w:cstheme="minorHAnsi"/>
          <w:b/>
          <w:bCs/>
          <w:sz w:val="22"/>
          <w:szCs w:val="22"/>
        </w:rPr>
        <w:t>List of partners and some of the diseases studied:</w:t>
      </w:r>
    </w:p>
    <w:tbl>
      <w:tblPr>
        <w:tblW w:w="8990" w:type="dxa"/>
        <w:tblCellMar>
          <w:left w:w="0" w:type="dxa"/>
          <w:right w:w="0" w:type="dxa"/>
        </w:tblCellMar>
        <w:tblLook w:val="0420" w:firstRow="1" w:lastRow="0" w:firstColumn="0" w:lastColumn="0" w:noHBand="0" w:noVBand="1"/>
      </w:tblPr>
      <w:tblGrid>
        <w:gridCol w:w="3950"/>
        <w:gridCol w:w="1805"/>
        <w:gridCol w:w="3235"/>
      </w:tblGrid>
      <w:tr w:rsidR="00300573" w:rsidRPr="00F245D2" w14:paraId="083C5537"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3C6E439D" w14:textId="77777777" w:rsidR="00300573" w:rsidRPr="00F245D2" w:rsidRDefault="00300573" w:rsidP="00676DC6">
            <w:pPr>
              <w:spacing w:after="160" w:line="256" w:lineRule="auto"/>
              <w:rPr>
                <w:rFonts w:asciiTheme="minorHAnsi" w:hAnsiTheme="minorHAnsi" w:cstheme="minorHAnsi"/>
                <w:sz w:val="22"/>
                <w:szCs w:val="22"/>
              </w:rPr>
            </w:pPr>
            <w:r w:rsidRPr="00F245D2">
              <w:rPr>
                <w:rFonts w:asciiTheme="minorHAnsi" w:hAnsiTheme="minorHAnsi" w:cstheme="minorHAnsi"/>
                <w:b/>
                <w:bCs/>
                <w:sz w:val="22"/>
                <w:szCs w:val="22"/>
              </w:rPr>
              <w:t>Partner Institution</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D24B6F9" w14:textId="77777777" w:rsidR="00300573" w:rsidRPr="00F245D2" w:rsidRDefault="00300573" w:rsidP="00676DC6">
            <w:pPr>
              <w:spacing w:after="160" w:line="256" w:lineRule="auto"/>
              <w:rPr>
                <w:rFonts w:asciiTheme="minorHAnsi" w:hAnsiTheme="minorHAnsi" w:cstheme="minorHAnsi"/>
                <w:sz w:val="22"/>
                <w:szCs w:val="22"/>
              </w:rPr>
            </w:pPr>
            <w:r w:rsidRPr="00F245D2">
              <w:rPr>
                <w:rFonts w:asciiTheme="minorHAnsi" w:hAnsiTheme="minorHAnsi" w:cstheme="minorHAnsi"/>
                <w:b/>
                <w:bCs/>
                <w:sz w:val="22"/>
                <w:szCs w:val="22"/>
              </w:rPr>
              <w:t>Country</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348C5F9A" w14:textId="77777777" w:rsidR="00300573" w:rsidRPr="00F245D2" w:rsidRDefault="00300573" w:rsidP="00676DC6">
            <w:pPr>
              <w:spacing w:after="160" w:line="256" w:lineRule="auto"/>
              <w:rPr>
                <w:rFonts w:asciiTheme="minorHAnsi" w:hAnsiTheme="minorHAnsi" w:cstheme="minorHAnsi"/>
                <w:sz w:val="22"/>
                <w:szCs w:val="22"/>
              </w:rPr>
            </w:pPr>
            <w:r w:rsidRPr="00F245D2">
              <w:rPr>
                <w:rFonts w:asciiTheme="minorHAnsi" w:hAnsiTheme="minorHAnsi" w:cstheme="minorHAnsi"/>
                <w:b/>
                <w:bCs/>
                <w:sz w:val="22"/>
                <w:szCs w:val="22"/>
              </w:rPr>
              <w:t>Diseases Studied</w:t>
            </w:r>
          </w:p>
        </w:tc>
      </w:tr>
      <w:tr w:rsidR="00300573" w:rsidRPr="00F245D2" w14:paraId="7977AA00"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0D9DD049"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Accra Veterinary Laboratory</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A4C47EC"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GHANA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5B702CE8"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Marburg, FMD, CCHF</w:t>
            </w:r>
          </w:p>
        </w:tc>
      </w:tr>
      <w:tr w:rsidR="00300573" w:rsidRPr="00F245D2" w14:paraId="7F1DA8F5"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EC1CD83"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National Veterinary Research Institute</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BF6232F"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NIGERIA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5CB0A102"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FMD, PPR, CCHF, LSD, CCHF, RVF</w:t>
            </w:r>
          </w:p>
        </w:tc>
      </w:tr>
      <w:tr w:rsidR="00300573" w:rsidRPr="00F245D2" w14:paraId="60BF956D"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2FE7BA0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Institute of Genomics and Global Health</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7D8CEFF"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NIGERIA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038A03C7"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ASF, JE, LSD, Ebola</w:t>
            </w:r>
          </w:p>
        </w:tc>
      </w:tr>
      <w:tr w:rsidR="00300573" w:rsidRPr="00F245D2" w14:paraId="1E641C5F"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30D44FE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Central Diagnostic Laboratory, Makerere</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5C0A8B43"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UGANDA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1B8D7F94"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ASF, CSF, LSD, FMD, Ebola</w:t>
            </w:r>
          </w:p>
        </w:tc>
      </w:tr>
      <w:tr w:rsidR="00300573" w:rsidRPr="00F245D2" w14:paraId="7ABFA7A1"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01A1268E"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Ctr for Transboundary Animal Diseases</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1E50D859"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THE PHILIPPINES</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1E88A21B"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ASF, CSF, JE, EBOLA</w:t>
            </w:r>
          </w:p>
        </w:tc>
      </w:tr>
      <w:tr w:rsidR="00300573" w:rsidRPr="00F245D2" w14:paraId="3F812267"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258ECE6D"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ISRA-LNERV</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2920249"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SENEGAL</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66EB0C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CCHF, RVF, WNV</w:t>
            </w:r>
          </w:p>
        </w:tc>
      </w:tr>
      <w:tr w:rsidR="00300573" w:rsidRPr="00F245D2" w14:paraId="624909B2"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5811AE45"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West Africa Livestock Innovation Centre</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395779A3"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THE GAMBIA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BE2439F"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PPR, LSD, RVF</w:t>
            </w:r>
          </w:p>
        </w:tc>
      </w:tr>
      <w:tr w:rsidR="00300573" w:rsidRPr="00F245D2" w14:paraId="55108BB8"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2705D0E6"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Department of Livestock Services</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252BDC3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THE GAMBIA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1EAC5A4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FMD, ASF</w:t>
            </w:r>
          </w:p>
        </w:tc>
      </w:tr>
      <w:tr w:rsidR="00300573" w:rsidRPr="00F245D2" w14:paraId="5D251031"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6CCEC94"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Jordan Univ of Science and Technology</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2E9CE8B2"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JORDAN</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5497C31D"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FMD, PPR, CCHF, LSD</w:t>
            </w:r>
          </w:p>
        </w:tc>
      </w:tr>
      <w:tr w:rsidR="00300573" w:rsidRPr="00F245D2" w14:paraId="498324A7"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1EB0DC7"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National Veterinary Laboratory*</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617C6D4C"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CAMEROON</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D79ECEC"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FMD, PPR, LSD</w:t>
            </w:r>
          </w:p>
        </w:tc>
      </w:tr>
      <w:tr w:rsidR="00300573" w:rsidRPr="00F245D2" w14:paraId="543CF9E2" w14:textId="77777777" w:rsidTr="00676DC6">
        <w:trPr>
          <w:trHeight w:val="20"/>
        </w:trPr>
        <w:tc>
          <w:tcPr>
            <w:tcW w:w="3950"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4721EB84"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State Central Veterinary Laboratory*</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B55006A"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MONGOLIA</w:t>
            </w:r>
          </w:p>
        </w:tc>
        <w:tc>
          <w:tcPr>
            <w:tcW w:w="32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06FDDE12" w14:textId="77777777" w:rsidR="00300573" w:rsidRPr="00F245D2" w:rsidRDefault="00300573" w:rsidP="00676DC6">
            <w:pPr>
              <w:spacing w:after="160"/>
              <w:contextualSpacing/>
              <w:rPr>
                <w:rFonts w:asciiTheme="minorHAnsi" w:hAnsiTheme="minorHAnsi" w:cstheme="minorHAnsi"/>
                <w:sz w:val="22"/>
                <w:szCs w:val="22"/>
              </w:rPr>
            </w:pPr>
            <w:r w:rsidRPr="00F245D2">
              <w:rPr>
                <w:rFonts w:asciiTheme="minorHAnsi" w:hAnsiTheme="minorHAnsi" w:cstheme="minorHAnsi"/>
                <w:sz w:val="22"/>
                <w:szCs w:val="22"/>
              </w:rPr>
              <w:t>FMD, PPR</w:t>
            </w:r>
          </w:p>
        </w:tc>
      </w:tr>
    </w:tbl>
    <w:p w14:paraId="424B266C" w14:textId="77777777" w:rsidR="00300573" w:rsidRPr="00F245D2" w:rsidRDefault="00300573" w:rsidP="00300573">
      <w:pPr>
        <w:spacing w:after="160" w:line="256" w:lineRule="auto"/>
        <w:rPr>
          <w:rFonts w:asciiTheme="minorHAnsi" w:hAnsiTheme="minorHAnsi" w:cstheme="minorHAnsi"/>
          <w:sz w:val="22"/>
          <w:szCs w:val="22"/>
        </w:rPr>
      </w:pPr>
      <w:r w:rsidRPr="00F245D2">
        <w:rPr>
          <w:rFonts w:asciiTheme="minorHAnsi" w:hAnsiTheme="minorHAnsi" w:cstheme="minorHAnsi"/>
          <w:sz w:val="22"/>
          <w:szCs w:val="22"/>
        </w:rPr>
        <w:t>* new partner 2026</w:t>
      </w:r>
    </w:p>
    <w:p w14:paraId="580DD679" w14:textId="77777777" w:rsidR="00300573" w:rsidRPr="00F245D2" w:rsidRDefault="00300573" w:rsidP="00300573">
      <w:pPr>
        <w:spacing w:after="160" w:line="256" w:lineRule="auto"/>
        <w:rPr>
          <w:rFonts w:asciiTheme="minorHAnsi" w:hAnsiTheme="minorHAnsi" w:cstheme="minorHAnsi"/>
          <w:sz w:val="22"/>
          <w:szCs w:val="22"/>
        </w:rPr>
      </w:pPr>
      <w:r w:rsidRPr="00F245D2">
        <w:rPr>
          <w:rFonts w:asciiTheme="minorHAnsi" w:hAnsiTheme="minorHAnsi" w:cstheme="minorHAnsi"/>
          <w:sz w:val="22"/>
          <w:szCs w:val="22"/>
        </w:rPr>
        <w:t>To date, GPAZDS work has resulted in 13 published manuscripts, 2 under review, many in draft stages. Examples of partner findings and current investigations:</w:t>
      </w:r>
    </w:p>
    <w:p w14:paraId="25E9C69C" w14:textId="77777777" w:rsidR="00300573" w:rsidRPr="00F245D2" w:rsidRDefault="00300573" w:rsidP="00300573">
      <w:pPr>
        <w:spacing w:after="160" w:line="256" w:lineRule="auto"/>
        <w:rPr>
          <w:rFonts w:asciiTheme="minorHAnsi" w:hAnsiTheme="minorHAnsi" w:cstheme="minorHAnsi"/>
          <w:b/>
          <w:bCs/>
          <w:sz w:val="22"/>
          <w:szCs w:val="22"/>
        </w:rPr>
      </w:pPr>
      <w:r w:rsidRPr="00F245D2">
        <w:rPr>
          <w:rFonts w:asciiTheme="minorHAnsi" w:hAnsiTheme="minorHAnsi" w:cstheme="minorHAnsi"/>
          <w:b/>
          <w:bCs/>
          <w:sz w:val="22"/>
          <w:szCs w:val="22"/>
        </w:rPr>
        <w:t>Published, findings with citation (selected from 13):</w:t>
      </w:r>
    </w:p>
    <w:p w14:paraId="147522AB" w14:textId="77777777" w:rsidR="00300573" w:rsidRPr="00F245D2" w:rsidRDefault="00300573" w:rsidP="00300573">
      <w:pPr>
        <w:spacing w:after="160"/>
        <w:contextualSpacing/>
        <w:rPr>
          <w:rFonts w:asciiTheme="minorHAnsi" w:hAnsiTheme="minorHAnsi" w:cstheme="minorHAnsi"/>
          <w:i/>
          <w:iCs/>
          <w:sz w:val="22"/>
          <w:szCs w:val="22"/>
        </w:rPr>
      </w:pPr>
      <w:r w:rsidRPr="00F245D2">
        <w:rPr>
          <w:rFonts w:asciiTheme="minorHAnsi" w:hAnsiTheme="minorHAnsi" w:cstheme="minorHAnsi"/>
          <w:i/>
          <w:iCs/>
          <w:sz w:val="22"/>
          <w:szCs w:val="22"/>
        </w:rPr>
        <w:t>Marburg virus seropositivity among livestock and dogs in Ghana – 29% in cattle, 22% in sheep, 20% in goats, 15% in dogs, and 11% in swine</w:t>
      </w:r>
    </w:p>
    <w:p w14:paraId="6CBFC559" w14:textId="77777777" w:rsidR="00300573" w:rsidRPr="00F245D2" w:rsidRDefault="00300573" w:rsidP="00300573">
      <w:pPr>
        <w:spacing w:after="160"/>
        <w:contextualSpacing/>
        <w:rPr>
          <w:rFonts w:asciiTheme="minorHAnsi" w:hAnsiTheme="minorHAnsi" w:cstheme="minorHAnsi"/>
          <w:sz w:val="22"/>
          <w:szCs w:val="22"/>
        </w:rPr>
      </w:pPr>
      <w:r w:rsidRPr="00F245D2">
        <w:rPr>
          <w:rFonts w:asciiTheme="minorHAnsi" w:hAnsiTheme="minorHAnsi" w:cstheme="minorHAnsi"/>
          <w:color w:val="141617"/>
          <w:spacing w:val="4"/>
          <w:sz w:val="22"/>
          <w:szCs w:val="22"/>
          <w:shd w:val="clear" w:color="auto" w:fill="FFFFFF"/>
        </w:rPr>
        <w:t xml:space="preserve">Serological Evidence of Potential Marburg Virus Circulation in Livestock and Dogs in Ghana. Odoom T, Johnson SAM, </w:t>
      </w:r>
      <w:proofErr w:type="spellStart"/>
      <w:r w:rsidRPr="00F245D2">
        <w:rPr>
          <w:rFonts w:asciiTheme="minorHAnsi" w:hAnsiTheme="minorHAnsi" w:cstheme="minorHAnsi"/>
          <w:color w:val="141617"/>
          <w:spacing w:val="4"/>
          <w:sz w:val="22"/>
          <w:szCs w:val="22"/>
          <w:shd w:val="clear" w:color="auto" w:fill="FFFFFF"/>
        </w:rPr>
        <w:t>Tasiame</w:t>
      </w:r>
      <w:proofErr w:type="spellEnd"/>
      <w:r w:rsidRPr="00F245D2">
        <w:rPr>
          <w:rFonts w:asciiTheme="minorHAnsi" w:hAnsiTheme="minorHAnsi" w:cstheme="minorHAnsi"/>
          <w:color w:val="141617"/>
          <w:spacing w:val="4"/>
          <w:sz w:val="22"/>
          <w:szCs w:val="22"/>
          <w:shd w:val="clear" w:color="auto" w:fill="FFFFFF"/>
        </w:rPr>
        <w:t xml:space="preserve"> W, </w:t>
      </w:r>
      <w:proofErr w:type="spellStart"/>
      <w:r w:rsidRPr="00F245D2">
        <w:rPr>
          <w:rFonts w:asciiTheme="minorHAnsi" w:hAnsiTheme="minorHAnsi" w:cstheme="minorHAnsi"/>
          <w:color w:val="141617"/>
          <w:spacing w:val="4"/>
          <w:sz w:val="22"/>
          <w:szCs w:val="22"/>
          <w:shd w:val="clear" w:color="auto" w:fill="FFFFFF"/>
        </w:rPr>
        <w:t>Ziekah</w:t>
      </w:r>
      <w:proofErr w:type="spellEnd"/>
      <w:r w:rsidRPr="00F245D2">
        <w:rPr>
          <w:rFonts w:asciiTheme="minorHAnsi" w:hAnsiTheme="minorHAnsi" w:cstheme="minorHAnsi"/>
          <w:color w:val="141617"/>
          <w:spacing w:val="4"/>
          <w:sz w:val="22"/>
          <w:szCs w:val="22"/>
          <w:shd w:val="clear" w:color="auto" w:fill="FFFFFF"/>
        </w:rPr>
        <w:t xml:space="preserve"> MY, Abuh JK, Anderson B, Danso F, </w:t>
      </w:r>
      <w:proofErr w:type="spellStart"/>
      <w:r w:rsidRPr="00F245D2">
        <w:rPr>
          <w:rFonts w:asciiTheme="minorHAnsi" w:hAnsiTheme="minorHAnsi" w:cstheme="minorHAnsi"/>
          <w:color w:val="141617"/>
          <w:spacing w:val="4"/>
          <w:sz w:val="22"/>
          <w:szCs w:val="22"/>
          <w:shd w:val="clear" w:color="auto" w:fill="FFFFFF"/>
        </w:rPr>
        <w:t>Abbiw</w:t>
      </w:r>
      <w:proofErr w:type="spellEnd"/>
      <w:r w:rsidRPr="00F245D2">
        <w:rPr>
          <w:rFonts w:asciiTheme="minorHAnsi" w:hAnsiTheme="minorHAnsi" w:cstheme="minorHAnsi"/>
          <w:color w:val="141617"/>
          <w:spacing w:val="4"/>
          <w:sz w:val="22"/>
          <w:szCs w:val="22"/>
          <w:shd w:val="clear" w:color="auto" w:fill="FFFFFF"/>
        </w:rPr>
        <w:t xml:space="preserve"> RK, </w:t>
      </w:r>
      <w:proofErr w:type="spellStart"/>
      <w:r w:rsidRPr="00F245D2">
        <w:rPr>
          <w:rFonts w:asciiTheme="minorHAnsi" w:hAnsiTheme="minorHAnsi" w:cstheme="minorHAnsi"/>
          <w:color w:val="141617"/>
          <w:spacing w:val="4"/>
          <w:sz w:val="22"/>
          <w:szCs w:val="22"/>
          <w:shd w:val="clear" w:color="auto" w:fill="FFFFFF"/>
        </w:rPr>
        <w:t>Nuokpem</w:t>
      </w:r>
      <w:proofErr w:type="spellEnd"/>
      <w:r w:rsidRPr="00F245D2">
        <w:rPr>
          <w:rFonts w:asciiTheme="minorHAnsi" w:hAnsiTheme="minorHAnsi" w:cstheme="minorHAnsi"/>
          <w:color w:val="141617"/>
          <w:spacing w:val="4"/>
          <w:sz w:val="22"/>
          <w:szCs w:val="22"/>
          <w:shd w:val="clear" w:color="auto" w:fill="FFFFFF"/>
        </w:rPr>
        <w:t xml:space="preserve"> FY, </w:t>
      </w:r>
      <w:proofErr w:type="spellStart"/>
      <w:r w:rsidRPr="00F245D2">
        <w:rPr>
          <w:rFonts w:asciiTheme="minorHAnsi" w:hAnsiTheme="minorHAnsi" w:cstheme="minorHAnsi"/>
          <w:color w:val="141617"/>
          <w:spacing w:val="4"/>
          <w:sz w:val="22"/>
          <w:szCs w:val="22"/>
          <w:shd w:val="clear" w:color="auto" w:fill="FFFFFF"/>
        </w:rPr>
        <w:t>Allegye</w:t>
      </w:r>
      <w:proofErr w:type="spellEnd"/>
      <w:r w:rsidRPr="00F245D2">
        <w:rPr>
          <w:rFonts w:asciiTheme="minorHAnsi" w:hAnsiTheme="minorHAnsi" w:cstheme="minorHAnsi"/>
          <w:color w:val="141617"/>
          <w:spacing w:val="4"/>
          <w:sz w:val="22"/>
          <w:szCs w:val="22"/>
          <w:shd w:val="clear" w:color="auto" w:fill="FFFFFF"/>
        </w:rPr>
        <w:t xml:space="preserve">-Cudjoe E, Lewis C, Faburay B. </w:t>
      </w:r>
      <w:r w:rsidRPr="00F245D2">
        <w:rPr>
          <w:rFonts w:asciiTheme="minorHAnsi" w:hAnsiTheme="minorHAnsi" w:cstheme="minorHAnsi"/>
          <w:i/>
          <w:iCs/>
          <w:color w:val="141617"/>
          <w:spacing w:val="4"/>
          <w:sz w:val="22"/>
          <w:szCs w:val="22"/>
          <w:shd w:val="clear" w:color="auto" w:fill="FFFFFF"/>
        </w:rPr>
        <w:t>Pathogens</w:t>
      </w:r>
      <w:r w:rsidRPr="00F245D2">
        <w:rPr>
          <w:rFonts w:asciiTheme="minorHAnsi" w:hAnsiTheme="minorHAnsi" w:cstheme="minorHAnsi"/>
          <w:color w:val="141617"/>
          <w:spacing w:val="4"/>
          <w:sz w:val="22"/>
          <w:szCs w:val="22"/>
          <w:shd w:val="clear" w:color="auto" w:fill="FFFFFF"/>
        </w:rPr>
        <w:t xml:space="preserve">. 2024 Oct 22;13(11):917. </w:t>
      </w:r>
      <w:hyperlink r:id="rId5" w:tgtFrame="_blank" w:history="1">
        <w:r w:rsidRPr="00F245D2">
          <w:rPr>
            <w:rFonts w:asciiTheme="minorHAnsi" w:hAnsiTheme="minorHAnsi" w:cstheme="minorHAnsi"/>
            <w:i/>
            <w:iCs/>
            <w:color w:val="004E7B"/>
            <w:spacing w:val="4"/>
            <w:sz w:val="22"/>
            <w:szCs w:val="22"/>
            <w:u w:val="single"/>
            <w:shd w:val="clear" w:color="auto" w:fill="FFFFFF"/>
          </w:rPr>
          <w:t>https://doi.org/10.3390/pathogens13110917</w:t>
        </w:r>
      </w:hyperlink>
      <w:r w:rsidRPr="00F245D2">
        <w:rPr>
          <w:rFonts w:asciiTheme="minorHAnsi" w:hAnsiTheme="minorHAnsi" w:cstheme="minorHAnsi"/>
          <w:sz w:val="22"/>
          <w:szCs w:val="22"/>
        </w:rPr>
        <w:t xml:space="preserve"> </w:t>
      </w:r>
    </w:p>
    <w:p w14:paraId="1402CF43" w14:textId="77777777" w:rsidR="00300573" w:rsidRPr="00F245D2" w:rsidRDefault="00300573" w:rsidP="00300573">
      <w:pPr>
        <w:spacing w:after="160"/>
        <w:contextualSpacing/>
        <w:rPr>
          <w:rFonts w:asciiTheme="minorHAnsi" w:hAnsiTheme="minorHAnsi" w:cstheme="minorHAnsi"/>
          <w:sz w:val="22"/>
          <w:szCs w:val="22"/>
        </w:rPr>
      </w:pPr>
    </w:p>
    <w:p w14:paraId="4AD5EE6B" w14:textId="77777777" w:rsidR="00300573" w:rsidRPr="00F245D2" w:rsidRDefault="00300573" w:rsidP="00300573">
      <w:pPr>
        <w:spacing w:after="160"/>
        <w:contextualSpacing/>
        <w:rPr>
          <w:rFonts w:asciiTheme="minorHAnsi" w:hAnsiTheme="minorHAnsi" w:cstheme="minorHAnsi"/>
          <w:i/>
          <w:iCs/>
          <w:sz w:val="22"/>
          <w:szCs w:val="22"/>
        </w:rPr>
      </w:pPr>
      <w:r w:rsidRPr="00F245D2">
        <w:rPr>
          <w:rFonts w:asciiTheme="minorHAnsi" w:hAnsiTheme="minorHAnsi" w:cstheme="minorHAnsi"/>
          <w:i/>
          <w:iCs/>
          <w:sz w:val="22"/>
          <w:szCs w:val="22"/>
        </w:rPr>
        <w:t>CCHF - 90% seropositivity among imported camels in northern Nigeria</w:t>
      </w:r>
    </w:p>
    <w:p w14:paraId="0C2857BD" w14:textId="77777777" w:rsidR="00300573" w:rsidRPr="00F245D2" w:rsidRDefault="00300573" w:rsidP="00300573">
      <w:pPr>
        <w:spacing w:after="160"/>
        <w:contextualSpacing/>
        <w:rPr>
          <w:rFonts w:asciiTheme="minorHAnsi" w:hAnsiTheme="minorHAnsi" w:cstheme="minorHAnsi"/>
          <w:sz w:val="22"/>
          <w:szCs w:val="22"/>
        </w:rPr>
      </w:pPr>
      <w:r w:rsidRPr="00F245D2">
        <w:rPr>
          <w:rFonts w:asciiTheme="minorHAnsi" w:hAnsiTheme="minorHAnsi" w:cstheme="minorHAnsi"/>
          <w:color w:val="141617"/>
          <w:spacing w:val="4"/>
          <w:sz w:val="22"/>
          <w:szCs w:val="22"/>
          <w:shd w:val="clear" w:color="auto" w:fill="F9F9FB"/>
        </w:rPr>
        <w:t xml:space="preserve">High Seroprevalence and Risk Factors of Crimean-Congo Hemorrhagic Fever Virus in Camels at Livestock Markets in Border Regions, Nigeria, 2023-2024. </w:t>
      </w:r>
      <w:proofErr w:type="spellStart"/>
      <w:r w:rsidRPr="00F245D2">
        <w:rPr>
          <w:rFonts w:asciiTheme="minorHAnsi" w:hAnsiTheme="minorHAnsi" w:cstheme="minorHAnsi"/>
          <w:color w:val="141617"/>
          <w:spacing w:val="4"/>
          <w:sz w:val="22"/>
          <w:szCs w:val="22"/>
          <w:shd w:val="clear" w:color="auto" w:fill="F9F9FB"/>
        </w:rPr>
        <w:t>Ehizibolo</w:t>
      </w:r>
      <w:proofErr w:type="spellEnd"/>
      <w:r w:rsidRPr="00F245D2">
        <w:rPr>
          <w:rFonts w:asciiTheme="minorHAnsi" w:hAnsiTheme="minorHAnsi" w:cstheme="minorHAnsi"/>
          <w:color w:val="141617"/>
          <w:spacing w:val="4"/>
          <w:sz w:val="22"/>
          <w:szCs w:val="22"/>
          <w:shd w:val="clear" w:color="auto" w:fill="F9F9FB"/>
        </w:rPr>
        <w:t xml:space="preserve"> DO, Oyekan O, </w:t>
      </w:r>
      <w:proofErr w:type="spellStart"/>
      <w:r w:rsidRPr="00F245D2">
        <w:rPr>
          <w:rFonts w:asciiTheme="minorHAnsi" w:hAnsiTheme="minorHAnsi" w:cstheme="minorHAnsi"/>
          <w:color w:val="141617"/>
          <w:spacing w:val="4"/>
          <w:sz w:val="22"/>
          <w:szCs w:val="22"/>
          <w:shd w:val="clear" w:color="auto" w:fill="F9F9FB"/>
        </w:rPr>
        <w:t>Mkpuma</w:t>
      </w:r>
      <w:proofErr w:type="spellEnd"/>
      <w:r w:rsidRPr="00F245D2">
        <w:rPr>
          <w:rFonts w:asciiTheme="minorHAnsi" w:hAnsiTheme="minorHAnsi" w:cstheme="minorHAnsi"/>
          <w:color w:val="141617"/>
          <w:spacing w:val="4"/>
          <w:sz w:val="22"/>
          <w:szCs w:val="22"/>
          <w:shd w:val="clear" w:color="auto" w:fill="F9F9FB"/>
        </w:rPr>
        <w:t xml:space="preserve"> N, Haliru </w:t>
      </w:r>
      <w:r w:rsidRPr="00F245D2">
        <w:rPr>
          <w:rFonts w:asciiTheme="minorHAnsi" w:hAnsiTheme="minorHAnsi" w:cstheme="minorHAnsi"/>
          <w:color w:val="141617"/>
          <w:spacing w:val="4"/>
          <w:sz w:val="22"/>
          <w:szCs w:val="22"/>
          <w:shd w:val="clear" w:color="auto" w:fill="F9F9FB"/>
        </w:rPr>
        <w:lastRenderedPageBreak/>
        <w:t xml:space="preserve">H, Gado DA, Turaki IZ, Garba I, Williams EE, </w:t>
      </w:r>
      <w:proofErr w:type="spellStart"/>
      <w:r w:rsidRPr="00F245D2">
        <w:rPr>
          <w:rFonts w:asciiTheme="minorHAnsi" w:hAnsiTheme="minorHAnsi" w:cstheme="minorHAnsi"/>
          <w:color w:val="141617"/>
          <w:spacing w:val="4"/>
          <w:sz w:val="22"/>
          <w:szCs w:val="22"/>
          <w:shd w:val="clear" w:color="auto" w:fill="F9F9FB"/>
        </w:rPr>
        <w:t>Danmarwa</w:t>
      </w:r>
      <w:proofErr w:type="spellEnd"/>
      <w:r w:rsidRPr="00F245D2">
        <w:rPr>
          <w:rFonts w:asciiTheme="minorHAnsi" w:hAnsiTheme="minorHAnsi" w:cstheme="minorHAnsi"/>
          <w:color w:val="141617"/>
          <w:spacing w:val="4"/>
          <w:sz w:val="22"/>
          <w:szCs w:val="22"/>
          <w:shd w:val="clear" w:color="auto" w:fill="F9F9FB"/>
        </w:rPr>
        <w:t xml:space="preserve"> A, Onoja M, Ardo A, </w:t>
      </w:r>
      <w:proofErr w:type="spellStart"/>
      <w:r w:rsidRPr="00F245D2">
        <w:rPr>
          <w:rFonts w:asciiTheme="minorHAnsi" w:hAnsiTheme="minorHAnsi" w:cstheme="minorHAnsi"/>
          <w:color w:val="141617"/>
          <w:spacing w:val="4"/>
          <w:sz w:val="22"/>
          <w:szCs w:val="22"/>
          <w:shd w:val="clear" w:color="auto" w:fill="F9F9FB"/>
        </w:rPr>
        <w:t>Akawu</w:t>
      </w:r>
      <w:proofErr w:type="spellEnd"/>
      <w:r w:rsidRPr="00F245D2">
        <w:rPr>
          <w:rFonts w:asciiTheme="minorHAnsi" w:hAnsiTheme="minorHAnsi" w:cstheme="minorHAnsi"/>
          <w:color w:val="141617"/>
          <w:spacing w:val="4"/>
          <w:sz w:val="22"/>
          <w:szCs w:val="22"/>
          <w:shd w:val="clear" w:color="auto" w:fill="F9F9FB"/>
        </w:rPr>
        <w:t xml:space="preserve"> B, Mohammed A, Muhammad MA, Abubakar M, Shittu A, Sajo MU, Muhammad M, Brown C, Faburay B. </w:t>
      </w:r>
      <w:r w:rsidRPr="00F245D2">
        <w:rPr>
          <w:rFonts w:asciiTheme="minorHAnsi" w:hAnsiTheme="minorHAnsi" w:cstheme="minorHAnsi"/>
          <w:i/>
          <w:iCs/>
          <w:color w:val="141617"/>
          <w:spacing w:val="4"/>
          <w:sz w:val="22"/>
          <w:szCs w:val="22"/>
          <w:shd w:val="clear" w:color="auto" w:fill="F9F9FB"/>
        </w:rPr>
        <w:t>Vector Borne and Zoonotic Diseases</w:t>
      </w:r>
      <w:r w:rsidRPr="00F245D2">
        <w:rPr>
          <w:rFonts w:asciiTheme="minorHAnsi" w:hAnsiTheme="minorHAnsi" w:cstheme="minorHAnsi"/>
          <w:color w:val="141617"/>
          <w:spacing w:val="4"/>
          <w:sz w:val="22"/>
          <w:szCs w:val="22"/>
          <w:shd w:val="clear" w:color="auto" w:fill="F9F9FB"/>
        </w:rPr>
        <w:t xml:space="preserve">. 2026. </w:t>
      </w:r>
      <w:hyperlink r:id="rId6" w:tgtFrame="_blank" w:history="1">
        <w:r w:rsidRPr="00F245D2">
          <w:rPr>
            <w:rFonts w:asciiTheme="minorHAnsi" w:hAnsiTheme="minorHAnsi" w:cstheme="minorHAnsi"/>
            <w:i/>
            <w:iCs/>
            <w:color w:val="004E7B"/>
            <w:spacing w:val="4"/>
            <w:sz w:val="22"/>
            <w:szCs w:val="22"/>
            <w:u w:val="single"/>
            <w:shd w:val="clear" w:color="auto" w:fill="F9F9FB"/>
          </w:rPr>
          <w:t>https://doi.org/10.1177/15303667261420069</w:t>
        </w:r>
      </w:hyperlink>
    </w:p>
    <w:p w14:paraId="02BAB179" w14:textId="77777777" w:rsidR="00300573" w:rsidRPr="00F245D2" w:rsidRDefault="00300573" w:rsidP="00300573">
      <w:pPr>
        <w:spacing w:after="160"/>
        <w:contextualSpacing/>
        <w:rPr>
          <w:rFonts w:asciiTheme="minorHAnsi" w:hAnsiTheme="minorHAnsi" w:cstheme="minorHAnsi"/>
          <w:sz w:val="22"/>
          <w:szCs w:val="22"/>
        </w:rPr>
      </w:pPr>
    </w:p>
    <w:p w14:paraId="4F373131" w14:textId="77777777" w:rsidR="00300573" w:rsidRPr="00F245D2" w:rsidRDefault="00300573" w:rsidP="00300573">
      <w:pPr>
        <w:spacing w:after="160"/>
        <w:contextualSpacing/>
        <w:rPr>
          <w:rFonts w:asciiTheme="minorHAnsi" w:hAnsiTheme="minorHAnsi" w:cstheme="minorHAnsi"/>
          <w:i/>
          <w:iCs/>
          <w:sz w:val="22"/>
          <w:szCs w:val="22"/>
        </w:rPr>
      </w:pPr>
      <w:r w:rsidRPr="00F245D2">
        <w:rPr>
          <w:rFonts w:asciiTheme="minorHAnsi" w:hAnsiTheme="minorHAnsi" w:cstheme="minorHAnsi"/>
          <w:i/>
          <w:iCs/>
          <w:sz w:val="22"/>
          <w:szCs w:val="22"/>
        </w:rPr>
        <w:t xml:space="preserve">New </w:t>
      </w:r>
      <w:proofErr w:type="spellStart"/>
      <w:r w:rsidRPr="00F245D2">
        <w:rPr>
          <w:rFonts w:asciiTheme="minorHAnsi" w:hAnsiTheme="minorHAnsi" w:cstheme="minorHAnsi"/>
          <w:i/>
          <w:iCs/>
          <w:sz w:val="22"/>
          <w:szCs w:val="22"/>
        </w:rPr>
        <w:t>sublineage</w:t>
      </w:r>
      <w:proofErr w:type="spellEnd"/>
      <w:r w:rsidRPr="00F245D2">
        <w:rPr>
          <w:rFonts w:asciiTheme="minorHAnsi" w:hAnsiTheme="minorHAnsi" w:cstheme="minorHAnsi"/>
          <w:i/>
          <w:iCs/>
          <w:sz w:val="22"/>
          <w:szCs w:val="22"/>
        </w:rPr>
        <w:t xml:space="preserve"> of Lumpy Skin Disease in West Africa</w:t>
      </w:r>
    </w:p>
    <w:p w14:paraId="13671486" w14:textId="77777777" w:rsidR="00300573" w:rsidRPr="00F245D2" w:rsidRDefault="00300573" w:rsidP="00300573">
      <w:pPr>
        <w:autoSpaceDE w:val="0"/>
        <w:autoSpaceDN w:val="0"/>
        <w:adjustRightInd w:val="0"/>
        <w:rPr>
          <w:rFonts w:asciiTheme="minorHAnsi" w:eastAsia="URWPalladioL-Roma" w:hAnsiTheme="minorHAnsi" w:cstheme="minorHAnsi"/>
          <w:sz w:val="22"/>
          <w:szCs w:val="22"/>
        </w:rPr>
      </w:pPr>
      <w:r w:rsidRPr="00F245D2">
        <w:rPr>
          <w:rFonts w:asciiTheme="minorHAnsi" w:eastAsia="URWPalladioL-Bold" w:hAnsiTheme="minorHAnsi" w:cstheme="minorHAnsi"/>
          <w:sz w:val="22"/>
          <w:szCs w:val="22"/>
        </w:rPr>
        <w:t xml:space="preserve">Genomic Analysis of Lumpy Skin Disease Virus from Western and Central Africa Suggests a Distinct Sub-Lineage Within the 1.2 LSDV Cluster. John Fadele,, Olusola Ogunsanya, Oluwatobi Adedokun, </w:t>
      </w:r>
      <w:proofErr w:type="spellStart"/>
      <w:r w:rsidRPr="00F245D2">
        <w:rPr>
          <w:rFonts w:asciiTheme="minorHAnsi" w:eastAsia="URWPalladioL-Bold" w:hAnsiTheme="minorHAnsi" w:cstheme="minorHAnsi"/>
          <w:sz w:val="22"/>
          <w:szCs w:val="22"/>
        </w:rPr>
        <w:t>Akeemat</w:t>
      </w:r>
      <w:proofErr w:type="spellEnd"/>
      <w:r w:rsidRPr="00F245D2">
        <w:rPr>
          <w:rFonts w:asciiTheme="minorHAnsi" w:eastAsia="URWPalladioL-Bold" w:hAnsiTheme="minorHAnsi" w:cstheme="minorHAnsi"/>
          <w:sz w:val="22"/>
          <w:szCs w:val="22"/>
        </w:rPr>
        <w:t xml:space="preserve"> Ayinla, </w:t>
      </w:r>
      <w:proofErr w:type="spellStart"/>
      <w:r w:rsidRPr="00F245D2">
        <w:rPr>
          <w:rFonts w:asciiTheme="minorHAnsi" w:eastAsia="URWPalladioL-Bold" w:hAnsiTheme="minorHAnsi" w:cstheme="minorHAnsi"/>
          <w:sz w:val="22"/>
          <w:szCs w:val="22"/>
        </w:rPr>
        <w:t>Mbitkebeyo</w:t>
      </w:r>
      <w:proofErr w:type="spellEnd"/>
      <w:r w:rsidRPr="00F245D2">
        <w:rPr>
          <w:rFonts w:asciiTheme="minorHAnsi" w:eastAsia="URWPalladioL-Bold" w:hAnsiTheme="minorHAnsi" w:cstheme="minorHAnsi"/>
          <w:sz w:val="22"/>
          <w:szCs w:val="22"/>
        </w:rPr>
        <w:t xml:space="preserve"> Pami, Ayotunde </w:t>
      </w:r>
      <w:proofErr w:type="spellStart"/>
      <w:r w:rsidRPr="00F245D2">
        <w:rPr>
          <w:rFonts w:asciiTheme="minorHAnsi" w:eastAsia="URWPalladioL-Bold" w:hAnsiTheme="minorHAnsi" w:cstheme="minorHAnsi"/>
          <w:sz w:val="22"/>
          <w:szCs w:val="22"/>
        </w:rPr>
        <w:t>Sijuwola</w:t>
      </w:r>
      <w:proofErr w:type="spellEnd"/>
      <w:r w:rsidRPr="00F245D2">
        <w:rPr>
          <w:rFonts w:asciiTheme="minorHAnsi" w:eastAsia="URWPalladioL-Bold" w:hAnsiTheme="minorHAnsi" w:cstheme="minorHAnsi"/>
          <w:sz w:val="22"/>
          <w:szCs w:val="22"/>
        </w:rPr>
        <w:t xml:space="preserve">, Femi Saibu, Harouna Soumare, Urbain Fanou, Corrie Brown, Bonto Faburay, Christian Happi and Anise Happi. </w:t>
      </w:r>
      <w:r w:rsidRPr="00F245D2">
        <w:rPr>
          <w:rFonts w:asciiTheme="minorHAnsi" w:eastAsia="URWPalladioL-Ital" w:hAnsiTheme="minorHAnsi" w:cstheme="minorHAnsi"/>
          <w:i/>
          <w:iCs/>
          <w:sz w:val="22"/>
          <w:szCs w:val="22"/>
        </w:rPr>
        <w:t>Pathogens</w:t>
      </w:r>
      <w:r w:rsidRPr="00F245D2">
        <w:rPr>
          <w:rFonts w:asciiTheme="minorHAnsi" w:eastAsia="URWPalladioL-Ital" w:hAnsiTheme="minorHAnsi" w:cstheme="minorHAnsi"/>
          <w:sz w:val="22"/>
          <w:szCs w:val="22"/>
        </w:rPr>
        <w:t xml:space="preserve">. </w:t>
      </w:r>
      <w:r w:rsidRPr="00F245D2">
        <w:rPr>
          <w:rFonts w:asciiTheme="minorHAnsi" w:eastAsia="URWPalladioL-Bold" w:hAnsiTheme="minorHAnsi" w:cstheme="minorHAnsi"/>
          <w:sz w:val="22"/>
          <w:szCs w:val="22"/>
        </w:rPr>
        <w:t>2025</w:t>
      </w:r>
      <w:r w:rsidRPr="00F245D2">
        <w:rPr>
          <w:rFonts w:asciiTheme="minorHAnsi" w:eastAsia="URWPalladioL-Roma" w:hAnsiTheme="minorHAnsi" w:cstheme="minorHAnsi"/>
          <w:sz w:val="22"/>
          <w:szCs w:val="22"/>
        </w:rPr>
        <w:t xml:space="preserve">, </w:t>
      </w:r>
      <w:r w:rsidRPr="00F245D2">
        <w:rPr>
          <w:rFonts w:asciiTheme="minorHAnsi" w:eastAsia="URWPalladioL-Ital" w:hAnsiTheme="minorHAnsi" w:cstheme="minorHAnsi"/>
          <w:sz w:val="22"/>
          <w:szCs w:val="22"/>
        </w:rPr>
        <w:t>14</w:t>
      </w:r>
      <w:r w:rsidRPr="00F245D2">
        <w:rPr>
          <w:rFonts w:asciiTheme="minorHAnsi" w:eastAsia="URWPalladioL-Roma" w:hAnsiTheme="minorHAnsi" w:cstheme="minorHAnsi"/>
          <w:sz w:val="22"/>
          <w:szCs w:val="22"/>
        </w:rPr>
        <w:t xml:space="preserve">, 922. </w:t>
      </w:r>
    </w:p>
    <w:p w14:paraId="748B1C7D" w14:textId="77777777" w:rsidR="00300573" w:rsidRPr="00F245D2" w:rsidRDefault="00300573" w:rsidP="00300573">
      <w:pPr>
        <w:autoSpaceDE w:val="0"/>
        <w:autoSpaceDN w:val="0"/>
        <w:adjustRightInd w:val="0"/>
        <w:rPr>
          <w:rFonts w:asciiTheme="minorHAnsi" w:hAnsiTheme="minorHAnsi" w:cstheme="minorHAnsi"/>
          <w:i/>
          <w:iCs/>
          <w:color w:val="2F5496"/>
          <w:sz w:val="22"/>
          <w:szCs w:val="22"/>
          <w:u w:val="single"/>
        </w:rPr>
      </w:pPr>
      <w:r w:rsidRPr="00F245D2">
        <w:rPr>
          <w:rFonts w:asciiTheme="minorHAnsi" w:eastAsia="URWPalladioL-Roma" w:hAnsiTheme="minorHAnsi" w:cstheme="minorHAnsi"/>
          <w:i/>
          <w:iCs/>
          <w:color w:val="2F5496"/>
          <w:sz w:val="22"/>
          <w:szCs w:val="22"/>
          <w:u w:val="single"/>
        </w:rPr>
        <w:t>https://doi.org/10.3390/pathogens14090922</w:t>
      </w:r>
    </w:p>
    <w:p w14:paraId="17D0D003" w14:textId="77777777" w:rsidR="00300573" w:rsidRPr="00F245D2" w:rsidRDefault="00300573" w:rsidP="00300573">
      <w:pPr>
        <w:spacing w:after="160"/>
        <w:contextualSpacing/>
        <w:rPr>
          <w:rFonts w:asciiTheme="minorHAnsi" w:hAnsiTheme="minorHAnsi" w:cstheme="minorHAnsi"/>
          <w:b/>
          <w:bCs/>
          <w:sz w:val="22"/>
          <w:szCs w:val="22"/>
        </w:rPr>
      </w:pPr>
    </w:p>
    <w:p w14:paraId="40C8CC72" w14:textId="77777777" w:rsidR="00300573" w:rsidRPr="00F245D2" w:rsidRDefault="00300573" w:rsidP="00300573">
      <w:pPr>
        <w:spacing w:after="160"/>
        <w:contextualSpacing/>
        <w:rPr>
          <w:rFonts w:asciiTheme="minorHAnsi" w:hAnsiTheme="minorHAnsi" w:cstheme="minorHAnsi"/>
          <w:b/>
          <w:bCs/>
          <w:sz w:val="22"/>
          <w:szCs w:val="22"/>
        </w:rPr>
      </w:pPr>
      <w:r w:rsidRPr="00F245D2">
        <w:rPr>
          <w:rFonts w:asciiTheme="minorHAnsi" w:hAnsiTheme="minorHAnsi" w:cstheme="minorHAnsi"/>
          <w:b/>
          <w:bCs/>
          <w:sz w:val="22"/>
          <w:szCs w:val="22"/>
        </w:rPr>
        <w:t>In process (draft manuscripts and those under review):</w:t>
      </w:r>
    </w:p>
    <w:p w14:paraId="72580495" w14:textId="77777777" w:rsidR="00300573" w:rsidRPr="00F245D2" w:rsidRDefault="00300573" w:rsidP="00300573">
      <w:pPr>
        <w:numPr>
          <w:ilvl w:val="0"/>
          <w:numId w:val="3"/>
        </w:numPr>
        <w:contextualSpacing/>
        <w:rPr>
          <w:rFonts w:asciiTheme="minorHAnsi" w:hAnsiTheme="minorHAnsi" w:cstheme="minorHAnsi"/>
          <w:sz w:val="22"/>
          <w:szCs w:val="22"/>
        </w:rPr>
      </w:pPr>
      <w:r w:rsidRPr="00F245D2">
        <w:rPr>
          <w:rFonts w:asciiTheme="minorHAnsi" w:hAnsiTheme="minorHAnsi" w:cstheme="minorHAnsi"/>
          <w:sz w:val="22"/>
          <w:szCs w:val="22"/>
        </w:rPr>
        <w:t>Highly divergent ASF Genotype II, Nigeria</w:t>
      </w:r>
    </w:p>
    <w:p w14:paraId="35B4B9CC" w14:textId="77777777" w:rsidR="00300573" w:rsidRPr="00F245D2" w:rsidRDefault="00300573" w:rsidP="00300573">
      <w:pPr>
        <w:numPr>
          <w:ilvl w:val="0"/>
          <w:numId w:val="3"/>
        </w:numPr>
        <w:contextualSpacing/>
        <w:rPr>
          <w:rFonts w:asciiTheme="minorHAnsi" w:hAnsiTheme="minorHAnsi" w:cstheme="minorHAnsi"/>
          <w:sz w:val="22"/>
          <w:szCs w:val="22"/>
        </w:rPr>
      </w:pPr>
      <w:r w:rsidRPr="00F245D2">
        <w:rPr>
          <w:rFonts w:asciiTheme="minorHAnsi" w:hAnsiTheme="minorHAnsi" w:cstheme="minorHAnsi"/>
          <w:sz w:val="22"/>
          <w:szCs w:val="22"/>
        </w:rPr>
        <w:t>PPR Lineage IV replacing Lineage II, The Gambia</w:t>
      </w:r>
    </w:p>
    <w:p w14:paraId="71488FB6" w14:textId="77777777" w:rsidR="00300573" w:rsidRPr="00F245D2" w:rsidRDefault="00300573" w:rsidP="00300573">
      <w:pPr>
        <w:numPr>
          <w:ilvl w:val="0"/>
          <w:numId w:val="3"/>
        </w:numPr>
        <w:contextualSpacing/>
        <w:rPr>
          <w:rFonts w:asciiTheme="minorHAnsi" w:hAnsiTheme="minorHAnsi" w:cstheme="minorHAnsi"/>
          <w:sz w:val="22"/>
          <w:szCs w:val="22"/>
        </w:rPr>
      </w:pPr>
      <w:r w:rsidRPr="00F245D2">
        <w:rPr>
          <w:rFonts w:asciiTheme="minorHAnsi" w:hAnsiTheme="minorHAnsi" w:cstheme="minorHAnsi"/>
          <w:sz w:val="22"/>
          <w:szCs w:val="22"/>
        </w:rPr>
        <w:t>At Senegalese borders, 5% of incoming ruminants positive for CCHF viremia</w:t>
      </w:r>
    </w:p>
    <w:p w14:paraId="07BE39B3" w14:textId="77777777" w:rsidR="00300573" w:rsidRPr="00F245D2" w:rsidRDefault="00300573" w:rsidP="00300573">
      <w:pPr>
        <w:numPr>
          <w:ilvl w:val="0"/>
          <w:numId w:val="3"/>
        </w:numPr>
        <w:contextualSpacing/>
        <w:rPr>
          <w:rFonts w:asciiTheme="minorHAnsi" w:hAnsiTheme="minorHAnsi" w:cstheme="minorHAnsi"/>
          <w:sz w:val="22"/>
          <w:szCs w:val="22"/>
        </w:rPr>
      </w:pPr>
      <w:r w:rsidRPr="00F245D2">
        <w:rPr>
          <w:rFonts w:asciiTheme="minorHAnsi" w:hAnsiTheme="minorHAnsi" w:cstheme="minorHAnsi"/>
          <w:sz w:val="22"/>
          <w:szCs w:val="22"/>
        </w:rPr>
        <w:t>Warthogs and their ticks exonerated from ASFV transmission, Uganda</w:t>
      </w:r>
    </w:p>
    <w:p w14:paraId="27B82FD1" w14:textId="77777777" w:rsidR="00300573" w:rsidRPr="00F245D2" w:rsidRDefault="00300573" w:rsidP="00300573">
      <w:pPr>
        <w:numPr>
          <w:ilvl w:val="0"/>
          <w:numId w:val="3"/>
        </w:numPr>
        <w:contextualSpacing/>
        <w:rPr>
          <w:rFonts w:asciiTheme="minorHAnsi" w:hAnsiTheme="minorHAnsi" w:cstheme="minorHAnsi"/>
          <w:sz w:val="22"/>
          <w:szCs w:val="22"/>
        </w:rPr>
      </w:pPr>
      <w:r w:rsidRPr="00F245D2">
        <w:rPr>
          <w:rFonts w:asciiTheme="minorHAnsi" w:hAnsiTheme="minorHAnsi" w:cstheme="minorHAnsi"/>
          <w:sz w:val="22"/>
          <w:szCs w:val="22"/>
        </w:rPr>
        <w:t>Evidence of Ebola (Reston) in pigs and bats, The Philippines</w:t>
      </w:r>
    </w:p>
    <w:p w14:paraId="600F29B5" w14:textId="77777777" w:rsidR="00300573" w:rsidRPr="00F245D2" w:rsidRDefault="00300573" w:rsidP="00300573">
      <w:pPr>
        <w:spacing w:after="160"/>
        <w:contextualSpacing/>
        <w:rPr>
          <w:rFonts w:asciiTheme="minorHAnsi" w:hAnsiTheme="minorHAnsi" w:cstheme="minorHAnsi"/>
          <w:b/>
          <w:bCs/>
          <w:sz w:val="22"/>
          <w:szCs w:val="22"/>
        </w:rPr>
      </w:pPr>
    </w:p>
    <w:p w14:paraId="40BFFB37" w14:textId="77777777" w:rsidR="00300573" w:rsidRPr="00F245D2" w:rsidRDefault="00300573" w:rsidP="00300573">
      <w:pPr>
        <w:spacing w:after="160"/>
        <w:contextualSpacing/>
        <w:rPr>
          <w:rFonts w:asciiTheme="minorHAnsi" w:hAnsiTheme="minorHAnsi" w:cstheme="minorHAnsi"/>
          <w:b/>
          <w:bCs/>
          <w:sz w:val="22"/>
          <w:szCs w:val="22"/>
        </w:rPr>
      </w:pPr>
      <w:r w:rsidRPr="00F245D2">
        <w:rPr>
          <w:rFonts w:asciiTheme="minorHAnsi" w:hAnsiTheme="minorHAnsi" w:cstheme="minorHAnsi"/>
          <w:b/>
          <w:bCs/>
          <w:sz w:val="22"/>
          <w:szCs w:val="22"/>
        </w:rPr>
        <w:t>Currently being investigated (selected among 11 current projects):</w:t>
      </w:r>
    </w:p>
    <w:p w14:paraId="20154D7E" w14:textId="77777777" w:rsidR="00300573" w:rsidRPr="00F245D2" w:rsidRDefault="00300573" w:rsidP="00300573">
      <w:pPr>
        <w:numPr>
          <w:ilvl w:val="0"/>
          <w:numId w:val="4"/>
        </w:numPr>
        <w:contextualSpacing/>
        <w:rPr>
          <w:rFonts w:asciiTheme="minorHAnsi" w:hAnsiTheme="minorHAnsi" w:cstheme="minorHAnsi"/>
          <w:sz w:val="22"/>
          <w:szCs w:val="22"/>
        </w:rPr>
      </w:pPr>
      <w:r w:rsidRPr="00F245D2">
        <w:rPr>
          <w:rFonts w:asciiTheme="minorHAnsi" w:hAnsiTheme="minorHAnsi" w:cstheme="minorHAnsi"/>
          <w:sz w:val="22"/>
          <w:szCs w:val="22"/>
        </w:rPr>
        <w:t>Ebola virus in bats, Nigeria</w:t>
      </w:r>
    </w:p>
    <w:p w14:paraId="6C4A8C73" w14:textId="77777777" w:rsidR="00300573" w:rsidRPr="00F245D2" w:rsidRDefault="00300573" w:rsidP="00300573">
      <w:pPr>
        <w:numPr>
          <w:ilvl w:val="0"/>
          <w:numId w:val="4"/>
        </w:numPr>
        <w:contextualSpacing/>
        <w:rPr>
          <w:rFonts w:asciiTheme="minorHAnsi" w:hAnsiTheme="minorHAnsi" w:cstheme="minorHAnsi"/>
          <w:sz w:val="22"/>
          <w:szCs w:val="22"/>
        </w:rPr>
      </w:pPr>
      <w:r w:rsidRPr="00F245D2">
        <w:rPr>
          <w:rFonts w:asciiTheme="minorHAnsi" w:hAnsiTheme="minorHAnsi" w:cstheme="minorHAnsi"/>
          <w:sz w:val="22"/>
          <w:szCs w:val="22"/>
        </w:rPr>
        <w:t xml:space="preserve">Comparison of </w:t>
      </w:r>
      <w:proofErr w:type="spellStart"/>
      <w:r w:rsidRPr="00F245D2">
        <w:rPr>
          <w:rFonts w:asciiTheme="minorHAnsi" w:hAnsiTheme="minorHAnsi" w:cstheme="minorHAnsi"/>
          <w:sz w:val="22"/>
          <w:szCs w:val="22"/>
        </w:rPr>
        <w:t>probangs</w:t>
      </w:r>
      <w:proofErr w:type="spellEnd"/>
      <w:r w:rsidRPr="00F245D2">
        <w:rPr>
          <w:rFonts w:asciiTheme="minorHAnsi" w:hAnsiTheme="minorHAnsi" w:cstheme="minorHAnsi"/>
          <w:sz w:val="22"/>
          <w:szCs w:val="22"/>
        </w:rPr>
        <w:t xml:space="preserve"> vs. nasal swabs for FMD carriers, Jordan</w:t>
      </w:r>
    </w:p>
    <w:p w14:paraId="02FB0208" w14:textId="77777777" w:rsidR="00300573" w:rsidRPr="00F245D2" w:rsidRDefault="00300573" w:rsidP="00300573">
      <w:pPr>
        <w:numPr>
          <w:ilvl w:val="0"/>
          <w:numId w:val="4"/>
        </w:numPr>
        <w:contextualSpacing/>
        <w:rPr>
          <w:rFonts w:asciiTheme="minorHAnsi" w:hAnsiTheme="minorHAnsi" w:cstheme="minorHAnsi"/>
          <w:sz w:val="22"/>
          <w:szCs w:val="22"/>
        </w:rPr>
      </w:pPr>
      <w:r w:rsidRPr="00F245D2">
        <w:rPr>
          <w:rFonts w:asciiTheme="minorHAnsi" w:hAnsiTheme="minorHAnsi" w:cstheme="minorHAnsi"/>
          <w:sz w:val="22"/>
          <w:szCs w:val="22"/>
        </w:rPr>
        <w:t>Follow-up of pigs vaccinated against ASFV, The Philippines</w:t>
      </w:r>
    </w:p>
    <w:p w14:paraId="72898FE5" w14:textId="77777777" w:rsidR="00300573" w:rsidRPr="00F245D2" w:rsidRDefault="00300573" w:rsidP="00300573">
      <w:pPr>
        <w:numPr>
          <w:ilvl w:val="0"/>
          <w:numId w:val="4"/>
        </w:numPr>
        <w:contextualSpacing/>
        <w:rPr>
          <w:rFonts w:asciiTheme="minorHAnsi" w:hAnsiTheme="minorHAnsi" w:cstheme="minorHAnsi"/>
          <w:sz w:val="22"/>
          <w:szCs w:val="22"/>
        </w:rPr>
      </w:pPr>
      <w:r w:rsidRPr="00F245D2">
        <w:rPr>
          <w:rFonts w:asciiTheme="minorHAnsi" w:hAnsiTheme="minorHAnsi" w:cstheme="minorHAnsi"/>
          <w:sz w:val="22"/>
          <w:szCs w:val="22"/>
        </w:rPr>
        <w:t>Presence of RVF and CCHF virus in milk in endemic areas, Nigeria</w:t>
      </w:r>
    </w:p>
    <w:p w14:paraId="0186DAEB" w14:textId="77777777" w:rsidR="00300573" w:rsidRDefault="00300573" w:rsidP="0095554B">
      <w:pPr>
        <w:pBdr>
          <w:bottom w:val="single" w:sz="12" w:space="1" w:color="auto"/>
        </w:pBdr>
        <w:rPr>
          <w:b/>
          <w:bCs/>
        </w:rPr>
      </w:pPr>
    </w:p>
    <w:p w14:paraId="0263505F" w14:textId="77777777" w:rsidR="00300573" w:rsidRDefault="00300573" w:rsidP="0095554B">
      <w:pPr>
        <w:rPr>
          <w:b/>
          <w:bCs/>
        </w:rPr>
      </w:pPr>
    </w:p>
    <w:p w14:paraId="240EF419" w14:textId="77777777" w:rsidR="00300573" w:rsidRDefault="00300573" w:rsidP="0095554B">
      <w:pPr>
        <w:rPr>
          <w:b/>
          <w:bCs/>
        </w:rPr>
      </w:pPr>
    </w:p>
    <w:p w14:paraId="558CD478" w14:textId="43D02B03" w:rsidR="0095554B" w:rsidRDefault="0095554B" w:rsidP="0095554B">
      <w:pPr>
        <w:rPr>
          <w:b/>
          <w:bCs/>
        </w:rPr>
      </w:pPr>
      <w:r>
        <w:rPr>
          <w:b/>
          <w:bCs/>
        </w:rPr>
        <w:t xml:space="preserve">Committee Business: </w:t>
      </w:r>
    </w:p>
    <w:p w14:paraId="09A6E13A" w14:textId="641B4172" w:rsidR="001E313B" w:rsidRDefault="00300573" w:rsidP="00F245D2">
      <w:pPr>
        <w:rPr>
          <w:i/>
          <w:iCs/>
        </w:rPr>
      </w:pPr>
      <w:r>
        <w:rPr>
          <w:i/>
          <w:iCs/>
        </w:rPr>
        <w:t>There was no committee business conducted at this year’s meeting.</w:t>
      </w:r>
      <w:r w:rsidR="00521AC2">
        <w:rPr>
          <w:i/>
          <w:iCs/>
        </w:rPr>
        <w:t xml:space="preserve"> No resolutions were presented or reviewed. </w:t>
      </w:r>
    </w:p>
    <w:p w14:paraId="0F01DDC2" w14:textId="77777777" w:rsidR="00300573" w:rsidRDefault="00300573" w:rsidP="001E313B">
      <w:pPr>
        <w:ind w:firstLine="360"/>
      </w:pPr>
    </w:p>
    <w:p w14:paraId="6E690372" w14:textId="31125CEE" w:rsidR="001E313B" w:rsidRPr="001E313B" w:rsidRDefault="001E313B" w:rsidP="001E313B"/>
    <w:p w14:paraId="4CEE866F" w14:textId="77777777" w:rsidR="0095554B" w:rsidRPr="0095554B" w:rsidRDefault="0095554B" w:rsidP="0095554B"/>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URWPalladioL-Bold">
    <w:altName w:val="Yu Gothic"/>
    <w:panose1 w:val="00000000000000000000"/>
    <w:charset w:val="80"/>
    <w:family w:val="auto"/>
    <w:notTrueType/>
    <w:pitch w:val="default"/>
    <w:sig w:usb0="00000001" w:usb1="08070000" w:usb2="00000010" w:usb3="00000000" w:csb0="00020000" w:csb1="00000000"/>
  </w:font>
  <w:font w:name="URWPalladioL-Roma">
    <w:altName w:val="Yu Gothic"/>
    <w:panose1 w:val="00000000000000000000"/>
    <w:charset w:val="80"/>
    <w:family w:val="auto"/>
    <w:notTrueType/>
    <w:pitch w:val="default"/>
    <w:sig w:usb0="00000001" w:usb1="08070000" w:usb2="00000010" w:usb3="00000000" w:csb0="00020000" w:csb1="00000000"/>
  </w:font>
  <w:font w:name="URWPalladioL-Ital">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CEA1128"/>
    <w:multiLevelType w:val="hybridMultilevel"/>
    <w:tmpl w:val="CFE88EA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EF61A4D"/>
    <w:multiLevelType w:val="hybridMultilevel"/>
    <w:tmpl w:val="43D6B92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380985066">
    <w:abstractNumId w:val="0"/>
  </w:num>
  <w:num w:numId="2" w16cid:durableId="1141190922">
    <w:abstractNumId w:val="0"/>
  </w:num>
  <w:num w:numId="3" w16cid:durableId="850340806">
    <w:abstractNumId w:val="1"/>
  </w:num>
  <w:num w:numId="4" w16cid:durableId="1738161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72A07"/>
    <w:rsid w:val="001E313B"/>
    <w:rsid w:val="00300573"/>
    <w:rsid w:val="00365085"/>
    <w:rsid w:val="00521AC2"/>
    <w:rsid w:val="008356A6"/>
    <w:rsid w:val="00917B4C"/>
    <w:rsid w:val="0095554B"/>
    <w:rsid w:val="0099068B"/>
    <w:rsid w:val="00E41B13"/>
    <w:rsid w:val="00F24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15303667261420069" TargetMode="External"/><Relationship Id="rId5" Type="http://schemas.openxmlformats.org/officeDocument/2006/relationships/hyperlink" Target="https://doi.org/10.3390/pathogens131109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Logan, Linda L</cp:lastModifiedBy>
  <cp:revision>3</cp:revision>
  <dcterms:created xsi:type="dcterms:W3CDTF">2026-10-20T22:58:00Z</dcterms:created>
  <dcterms:modified xsi:type="dcterms:W3CDTF">2026-10-21T12:34:00Z</dcterms:modified>
</cp:coreProperties>
</file>