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2A921" w14:textId="155D0197" w:rsidR="008356A6" w:rsidRDefault="00655965" w:rsidP="00072A07">
      <w:pPr>
        <w:pStyle w:val="Heading1"/>
      </w:pPr>
      <w:r>
        <w:t>C</w:t>
      </w:r>
      <w:r w:rsidR="00072A07">
        <w:t xml:space="preserve">OMMITTEE ON </w:t>
      </w:r>
      <w:r w:rsidR="008C3A61">
        <w:t>Parasitic and vector borne diseases</w:t>
      </w:r>
    </w:p>
    <w:p w14:paraId="082CFC8C" w14:textId="3160B0A1" w:rsidR="00072A07" w:rsidRDefault="00072A07" w:rsidP="00072A07">
      <w:pPr>
        <w:jc w:val="center"/>
      </w:pPr>
      <w:r>
        <w:t>Chair:</w:t>
      </w:r>
      <w:r w:rsidR="008C3A61">
        <w:t xml:space="preserve">  Dr. Hallie Hasel</w:t>
      </w:r>
    </w:p>
    <w:p w14:paraId="0AAF48FD" w14:textId="33F7B576" w:rsidR="00072A07" w:rsidRDefault="0042171A" w:rsidP="0042171A">
      <w:pPr>
        <w:ind w:left="3600"/>
      </w:pPr>
      <w:r>
        <w:t xml:space="preserve">   </w:t>
      </w:r>
      <w:r w:rsidR="00072A07">
        <w:t>Vice Chair:</w:t>
      </w:r>
      <w:r w:rsidR="008C3A61">
        <w:t xml:space="preserve">  Dr. TR Lansford</w:t>
      </w:r>
    </w:p>
    <w:p w14:paraId="41E7CE5D" w14:textId="094E4326" w:rsidR="0004484A" w:rsidRDefault="0004484A" w:rsidP="00072A07">
      <w:pPr>
        <w:jc w:val="center"/>
      </w:pPr>
    </w:p>
    <w:p w14:paraId="334840E6" w14:textId="77777777" w:rsidR="00072A07" w:rsidRPr="00110D25" w:rsidRDefault="00072A07" w:rsidP="00072A07">
      <w:pPr>
        <w:jc w:val="center"/>
      </w:pPr>
    </w:p>
    <w:p w14:paraId="003F9AA7" w14:textId="03A260B2" w:rsidR="00346135" w:rsidRPr="00110D25" w:rsidRDefault="0095554B" w:rsidP="00346135">
      <w:r w:rsidRPr="00110D25">
        <w:t xml:space="preserve">The Committee met </w:t>
      </w:r>
      <w:r w:rsidR="00A97BCD" w:rsidRPr="00110D25">
        <w:t xml:space="preserve">on </w:t>
      </w:r>
      <w:r w:rsidR="00F541C9" w:rsidRPr="00110D25">
        <w:t>October 20, 2026</w:t>
      </w:r>
      <w:r w:rsidR="00A97BCD" w:rsidRPr="00110D25">
        <w:t xml:space="preserve"> at the </w:t>
      </w:r>
      <w:r w:rsidR="00F541C9" w:rsidRPr="00110D25">
        <w:t xml:space="preserve">Monona Terrace Convention Center, Madison, Wisconsin, from 3:15- 5:15 pm. </w:t>
      </w:r>
      <w:r w:rsidR="00A97BCD" w:rsidRPr="00110D25">
        <w:t xml:space="preserve">There were </w:t>
      </w:r>
      <w:r w:rsidR="00A97BCD" w:rsidRPr="00110D25">
        <w:rPr>
          <w:color w:val="FF0000"/>
        </w:rPr>
        <w:t>XX</w:t>
      </w:r>
      <w:r w:rsidR="00A97BCD" w:rsidRPr="00110D25">
        <w:t xml:space="preserve"> members and </w:t>
      </w:r>
      <w:r w:rsidR="00A97BCD" w:rsidRPr="00110D25">
        <w:rPr>
          <w:color w:val="FF0000"/>
        </w:rPr>
        <w:t xml:space="preserve">XX </w:t>
      </w:r>
      <w:r w:rsidR="00A97BCD" w:rsidRPr="00110D25">
        <w:t xml:space="preserve">guests present. </w:t>
      </w:r>
      <w:r w:rsidR="00346135" w:rsidRPr="00110D25">
        <w:t xml:space="preserve">The meeting began with the presentations summarized below. The committee </w:t>
      </w:r>
      <w:r w:rsidR="00A97BCD" w:rsidRPr="00110D25">
        <w:t xml:space="preserve">had one resolution response to review from 2024, </w:t>
      </w:r>
      <w:r w:rsidR="00F541C9" w:rsidRPr="00110D25">
        <w:t xml:space="preserve">and </w:t>
      </w:r>
      <w:r w:rsidR="00A97BCD" w:rsidRPr="00110D25">
        <w:t>one 202</w:t>
      </w:r>
      <w:r w:rsidR="00F541C9" w:rsidRPr="00110D25">
        <w:t xml:space="preserve">6 </w:t>
      </w:r>
      <w:r w:rsidR="00A97BCD" w:rsidRPr="00110D25">
        <w:t>resolution</w:t>
      </w:r>
      <w:r w:rsidR="00F541C9" w:rsidRPr="00110D25">
        <w:t xml:space="preserve"> each from both the Theileria Subcommittee and parent Parasitic and Vector Borne Disease Committee.</w:t>
      </w:r>
    </w:p>
    <w:p w14:paraId="07644AEF" w14:textId="77777777" w:rsidR="00F541C9" w:rsidRPr="00110D25" w:rsidRDefault="00F541C9" w:rsidP="00346135"/>
    <w:p w14:paraId="2EE4518D" w14:textId="6B5FC160" w:rsidR="0095554B" w:rsidRPr="00110D25" w:rsidRDefault="0095554B" w:rsidP="00346135">
      <w:pPr>
        <w:rPr>
          <w:b/>
          <w:bCs/>
        </w:rPr>
      </w:pPr>
      <w:r w:rsidRPr="00110D25">
        <w:rPr>
          <w:b/>
          <w:bCs/>
        </w:rPr>
        <w:t xml:space="preserve">Presentations &amp; Reports </w:t>
      </w:r>
    </w:p>
    <w:p w14:paraId="538A7523" w14:textId="01BCA3E6" w:rsidR="006C4E8B" w:rsidRPr="00110D25" w:rsidRDefault="006C4E8B" w:rsidP="00346135">
      <w:pPr>
        <w:rPr>
          <w:b/>
          <w:bCs/>
        </w:rPr>
      </w:pPr>
    </w:p>
    <w:p w14:paraId="63D012BF" w14:textId="77777777" w:rsidR="006C4E8B" w:rsidRPr="00110D25" w:rsidRDefault="006C4E8B" w:rsidP="006C4E8B">
      <w:r w:rsidRPr="00110D25">
        <w:rPr>
          <w:b/>
          <w:bCs/>
        </w:rPr>
        <w:t>New World Screwworm in Panama: Field Actions and Lessons Learned</w:t>
      </w:r>
      <w:r w:rsidRPr="00110D25">
        <w:br/>
        <w:t>Dr. Lester Reyes Concepción, National Director of Animal Health, Ministry of Agricultural Development, Republic of Panama</w:t>
      </w:r>
    </w:p>
    <w:p w14:paraId="406C19B4" w14:textId="77777777" w:rsidR="006C4E8B" w:rsidRPr="00110D25" w:rsidRDefault="006C4E8B" w:rsidP="006C4E8B">
      <w:r w:rsidRPr="00110D25">
        <w:t>Panama maintained freedom from New World screwworm outside the permanent barrier zone in Darién from 2006 until its resurgence in 2022. The outbreak subsequently spread nationwide, exposing gaps in resources, inspection infrastructure and response capacity. From 2023 through epidemiological week 37 of 2026, Panama recorded more than 86,000 cases, with cattle accounting for approximately 86%. Newborn calves are particularly vulnerable, while human infections and estimated annual economic losses of $75 million demonstrate the outbreak’s broader impacts.</w:t>
      </w:r>
    </w:p>
    <w:p w14:paraId="0E22F2F3" w14:textId="77777777" w:rsidR="006C4E8B" w:rsidRPr="00110D25" w:rsidRDefault="006C4E8B" w:rsidP="006C4E8B">
      <w:r w:rsidRPr="00110D25">
        <w:t>Panama’s response combines surveillance, laboratory confirmation, animal treatment, livestock movement controls and producer education. The National Directorate of Animal Health coordinates these efforts with COPEG and national and regional partners. Producers conduct daily inspections, treat wounds and report suspected cases, supported by veterinary teams and five livestock checkpoints.</w:t>
      </w:r>
    </w:p>
    <w:p w14:paraId="6DCEFE9C" w14:textId="77777777" w:rsidR="006C4E8B" w:rsidRPr="00110D25" w:rsidRDefault="006C4E8B" w:rsidP="006C4E8B">
      <w:r w:rsidRPr="00110D25">
        <w:t>As the parasite became established nationwide, Panama shifted from containment to sustained control and reducing incidence. Challenges included delayed emergency action, inadequate inspections before livestock transport and planning that underestimated the outbreak’s duration.</w:t>
      </w:r>
    </w:p>
    <w:p w14:paraId="390A9890" w14:textId="77777777" w:rsidR="006C4E8B" w:rsidRPr="00110D25" w:rsidRDefault="006C4E8B" w:rsidP="006C4E8B">
      <w:r w:rsidRPr="00110D25">
        <w:t>Key lessons include early intervention, active surveillance, timely communication and movement controls based on risk. Consistent wound care, particularly for newborn calves and following livestock procedures, remains essential. Moving forward, Panama prioritizes surveillance in higher-risk areas, sustained staffing and supplies, producer participation and regional coordination to reduce cases and limit further spread.</w:t>
      </w:r>
    </w:p>
    <w:p w14:paraId="3CE85C69" w14:textId="77777777" w:rsidR="006C4E8B" w:rsidRPr="00110D25" w:rsidRDefault="006C4E8B" w:rsidP="00346135">
      <w:pPr>
        <w:rPr>
          <w:b/>
          <w:bCs/>
        </w:rPr>
      </w:pPr>
    </w:p>
    <w:p w14:paraId="3419F4F3" w14:textId="77777777" w:rsidR="0042171A" w:rsidRPr="00110D25" w:rsidRDefault="0042171A" w:rsidP="0042171A">
      <w:pPr>
        <w:rPr>
          <w:rFonts w:eastAsia="Calibri" w:cs="Arial"/>
          <w:b/>
        </w:rPr>
      </w:pPr>
      <w:r w:rsidRPr="00110D25">
        <w:rPr>
          <w:rFonts w:eastAsia="Calibri" w:cs="Arial"/>
          <w:b/>
        </w:rPr>
        <w:t>Update on 2026 EHDV and BTV Detections by SCWDS</w:t>
      </w:r>
    </w:p>
    <w:p w14:paraId="56F39C63" w14:textId="0BEB5293" w:rsidR="0042171A" w:rsidRPr="00110D25" w:rsidRDefault="0042171A" w:rsidP="0042171A">
      <w:pPr>
        <w:rPr>
          <w:rFonts w:cs="Arial"/>
        </w:rPr>
      </w:pPr>
      <w:r w:rsidRPr="00110D25">
        <w:rPr>
          <w:rFonts w:eastAsia="Times New Roman" w:cs="Arial"/>
        </w:rPr>
        <w:t>Mark Ruder, Lyndon Sullivan-Brugger, David Stallknecht, Nicole Nemeth, Paul Oesterle, Elizabeth Kurimo-Beechuk, Victoria Andreasen, Juliet Woodward, and Rebecca Poulson, Southeastern Cooperative Wildlife Disease Study (SCWDS), University of Georgia, Athens, GA</w:t>
      </w:r>
    </w:p>
    <w:p w14:paraId="5AC35CA0" w14:textId="77777777" w:rsidR="0042171A" w:rsidRPr="00110D25" w:rsidRDefault="0042171A" w:rsidP="0042171A">
      <w:pPr>
        <w:ind w:firstLine="360"/>
        <w:rPr>
          <w:rFonts w:eastAsia="Times New Roman" w:cs="Arial"/>
          <w:highlight w:val="yellow"/>
        </w:rPr>
      </w:pPr>
      <w:r w:rsidRPr="00110D25">
        <w:rPr>
          <w:rFonts w:eastAsia="Times New Roman" w:cs="Arial"/>
        </w:rPr>
        <w:t xml:space="preserve">Annually, the Southeastern Cooperative Wildlife Disease Study (University of Georgia) receives wild ruminant tissue samples submitted by state wildlife agency personnel from throughout much of the U.S. The samples are collected in the field from animals suspected to have died from orbiviral hemorrhagic disease. Submissions are initially tested for epizootic hemorrhagic disease virus (EHDV) and bluetongue virus (BTV) by real-time reverse transcription PCR (rRT-PCR). For samples that test positive by rRT-PCR, virus isolation is attempted. EHDV isolates are identified to serotype by virus neutralization or serotype-specific RT-PCR. BTV isolates and samples with ct values ≤30 are shared with partners at NVSL for further characterization. This work is supported through long-term financial support of SCWDS member wildlife agencies and we thank NVSL for their ongoing support to help characterize BTV detections. </w:t>
      </w:r>
    </w:p>
    <w:p w14:paraId="7749F598" w14:textId="77777777" w:rsidR="006C4E8B" w:rsidRPr="00110D25" w:rsidRDefault="0042171A" w:rsidP="0042171A">
      <w:pPr>
        <w:tabs>
          <w:tab w:val="left" w:pos="-1126"/>
          <w:tab w:val="left" w:pos="-720"/>
          <w:tab w:val="left" w:pos="0"/>
          <w:tab w:val="left" w:pos="2322"/>
          <w:tab w:val="left" w:pos="2880"/>
          <w:tab w:val="left" w:pos="3600"/>
          <w:tab w:val="left" w:pos="4320"/>
          <w:tab w:val="left" w:pos="5040"/>
          <w:tab w:val="left" w:pos="5760"/>
          <w:tab w:val="left" w:pos="6480"/>
          <w:tab w:val="left" w:pos="7200"/>
          <w:tab w:val="left" w:pos="7920"/>
          <w:tab w:val="left" w:pos="8640"/>
          <w:tab w:val="left" w:pos="9360"/>
          <w:tab w:val="left" w:pos="964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360"/>
        <w:jc w:val="both"/>
        <w:rPr>
          <w:rFonts w:eastAsia="Calibri" w:cs="Arial"/>
        </w:rPr>
      </w:pPr>
      <w:r w:rsidRPr="00110D25">
        <w:rPr>
          <w:rFonts w:eastAsia="Calibri" w:cs="Arial"/>
        </w:rPr>
        <w:t>Final results for the 2025 EHDV and BTV transmission season were completed since the last USAHA meeting. During 2025, state wildlife agencies submitted tissue samples from 525 wild ruminants from 23 states. Overall, 294 animals (282 white-tailed deer, five mule deer, four pronghorn, and three elk) tested positive for EHDV and/or BTV by rRT-PCR. EHDV was detected in 275 white-tailed deer, three elk, two mule deer, and two pr</w:t>
      </w:r>
    </w:p>
    <w:p w14:paraId="13C55E17" w14:textId="626928AA" w:rsidR="0042171A" w:rsidRPr="00110D25" w:rsidRDefault="0042171A" w:rsidP="0042171A">
      <w:pPr>
        <w:tabs>
          <w:tab w:val="left" w:pos="-1126"/>
          <w:tab w:val="left" w:pos="-720"/>
          <w:tab w:val="left" w:pos="0"/>
          <w:tab w:val="left" w:pos="2322"/>
          <w:tab w:val="left" w:pos="2880"/>
          <w:tab w:val="left" w:pos="3600"/>
          <w:tab w:val="left" w:pos="4320"/>
          <w:tab w:val="left" w:pos="5040"/>
          <w:tab w:val="left" w:pos="5760"/>
          <w:tab w:val="left" w:pos="6480"/>
          <w:tab w:val="left" w:pos="7200"/>
          <w:tab w:val="left" w:pos="7920"/>
          <w:tab w:val="left" w:pos="8640"/>
          <w:tab w:val="left" w:pos="9360"/>
          <w:tab w:val="left" w:pos="964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360"/>
        <w:jc w:val="both"/>
        <w:rPr>
          <w:rFonts w:eastAsia="Calibri" w:cs="Arial"/>
          <w:color w:val="EE0000"/>
        </w:rPr>
      </w:pPr>
      <w:proofErr w:type="spellStart"/>
      <w:r w:rsidRPr="00110D25">
        <w:rPr>
          <w:rFonts w:eastAsia="Calibri" w:cs="Arial"/>
        </w:rPr>
        <w:t>onghorn</w:t>
      </w:r>
      <w:proofErr w:type="spellEnd"/>
      <w:r w:rsidRPr="00110D25">
        <w:rPr>
          <w:rFonts w:eastAsia="Calibri" w:cs="Arial"/>
        </w:rPr>
        <w:t xml:space="preserve"> in 20 states. All three EHDV serotypes that are established in the U.S. (EHDV-1, -2, -6) were detected. EHDV-2 was detected in 168 white-tailed deer from 16 states: AL, AR, FL, GA, IN, KY, MD, MI, MO, MS, MT, ND, OK, PA, TN, and WV, as well as an elk, mule deer, and pronghorn from MT. EHDV-6 was detected in 56 white-tailed deer from 12 states: AR, GA, IN, KY, MD, MI, NC, NY, PA, TN, VA, and WV. Finally, EHDV-1 was detected in three white-tailed deer from KY and PA. There were 21 BTV detections, including 14 white-tailed deer from FL, TN, MT, and MO, as well as mule deer from NE and MT, and pronghorn from MT. In collaboration with NVSL, genetic sequencing identified BTV-11 (MO, MT, TN), BTV-13 (FL, TN), and BTV-17 (FL, MT).</w:t>
      </w:r>
    </w:p>
    <w:p w14:paraId="15B7446B" w14:textId="5A71A73F" w:rsidR="0042171A" w:rsidRPr="00110D25" w:rsidRDefault="0042171A" w:rsidP="0042171A">
      <w:pPr>
        <w:tabs>
          <w:tab w:val="left" w:pos="-1126"/>
          <w:tab w:val="left" w:pos="-720"/>
          <w:tab w:val="left" w:pos="0"/>
          <w:tab w:val="left" w:pos="2322"/>
          <w:tab w:val="left" w:pos="2880"/>
          <w:tab w:val="left" w:pos="3600"/>
          <w:tab w:val="left" w:pos="4320"/>
          <w:tab w:val="left" w:pos="5040"/>
          <w:tab w:val="left" w:pos="5760"/>
          <w:tab w:val="left" w:pos="6480"/>
          <w:tab w:val="left" w:pos="7200"/>
          <w:tab w:val="left" w:pos="7920"/>
          <w:tab w:val="left" w:pos="8640"/>
          <w:tab w:val="left" w:pos="9360"/>
          <w:tab w:val="left" w:pos="964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360"/>
        <w:jc w:val="both"/>
        <w:rPr>
          <w:rFonts w:cs="Arial"/>
        </w:rPr>
      </w:pPr>
      <w:r w:rsidRPr="00110D25">
        <w:rPr>
          <w:rFonts w:eastAsia="Calibri" w:cs="Arial"/>
        </w:rPr>
        <w:t xml:space="preserve">Diagnostic testing for the 2026 transmission season is ongoing. As of October 13, 2026, SCWDS has received tissue samples from 219 wild ruminants from 20 states. Thus far, testing has resulted in EHDV and/or BTV detections in 118 animals from 18 states. The following viruses have been detected in white-tailed deer: EHDV-2 (DE, KS, KY, MT, NC, TN); EHDV-6 (GA, MI, PA, WV). Additional detections of EHDV are pending virus isolation and serotype determination: KS, MD, MI, MO, MT, NC, ND, NY, PA, VA, and WV.  Further, BTV detections from DE, FL, GA, KS, MD, </w:t>
      </w:r>
      <w:r w:rsidRPr="00110D25">
        <w:rPr>
          <w:rFonts w:eastAsia="Calibri" w:cs="Arial"/>
        </w:rPr>
        <w:lastRenderedPageBreak/>
        <w:t xml:space="preserve">MO, MT, NC, NY, OK, PA, VA, and WV and are pending further characterization at NVSL. </w:t>
      </w:r>
      <w:r w:rsidRPr="00110D25">
        <w:rPr>
          <w:rFonts w:cs="Arial"/>
        </w:rPr>
        <w:t>Testing will continue on samples received through November.</w:t>
      </w:r>
    </w:p>
    <w:p w14:paraId="5529FC18" w14:textId="46B90740" w:rsidR="006C4E8B" w:rsidRPr="00110D25" w:rsidRDefault="006C4E8B" w:rsidP="0042171A">
      <w:pPr>
        <w:tabs>
          <w:tab w:val="left" w:pos="-1126"/>
          <w:tab w:val="left" w:pos="-720"/>
          <w:tab w:val="left" w:pos="0"/>
          <w:tab w:val="left" w:pos="2322"/>
          <w:tab w:val="left" w:pos="2880"/>
          <w:tab w:val="left" w:pos="3600"/>
          <w:tab w:val="left" w:pos="4320"/>
          <w:tab w:val="left" w:pos="5040"/>
          <w:tab w:val="left" w:pos="5760"/>
          <w:tab w:val="left" w:pos="6480"/>
          <w:tab w:val="left" w:pos="7200"/>
          <w:tab w:val="left" w:pos="7920"/>
          <w:tab w:val="left" w:pos="8640"/>
          <w:tab w:val="left" w:pos="9360"/>
          <w:tab w:val="left" w:pos="964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360"/>
        <w:jc w:val="both"/>
        <w:rPr>
          <w:rFonts w:cs="Arial"/>
        </w:rPr>
      </w:pPr>
    </w:p>
    <w:p w14:paraId="4453C7D7" w14:textId="77777777" w:rsidR="00110D25" w:rsidRPr="00110D25" w:rsidRDefault="00110D25" w:rsidP="00110D25">
      <w:pPr>
        <w:pStyle w:val="Title"/>
        <w:rPr>
          <w:rFonts w:ascii="Arial" w:eastAsiaTheme="minorEastAsia" w:hAnsi="Arial" w:cs="Arial"/>
          <w:b/>
          <w:bCs/>
          <w:sz w:val="20"/>
          <w:szCs w:val="20"/>
        </w:rPr>
      </w:pPr>
      <w:r w:rsidRPr="00110D25">
        <w:rPr>
          <w:rFonts w:ascii="Arial" w:eastAsiaTheme="minorEastAsia" w:hAnsi="Arial" w:cs="Arial"/>
          <w:b/>
          <w:bCs/>
          <w:sz w:val="20"/>
          <w:szCs w:val="20"/>
        </w:rPr>
        <w:t>Cattle Fever Tick Eradication Program 2026 Summary</w:t>
      </w:r>
    </w:p>
    <w:p w14:paraId="2344CD4D" w14:textId="3B05576E" w:rsidR="00110D25" w:rsidRPr="00110D25" w:rsidRDefault="00110D25" w:rsidP="00110D25">
      <w:pPr>
        <w:pStyle w:val="Title"/>
        <w:rPr>
          <w:rFonts w:ascii="Arial" w:hAnsi="Arial" w:cs="Arial"/>
          <w:sz w:val="20"/>
          <w:szCs w:val="20"/>
        </w:rPr>
      </w:pPr>
      <w:r w:rsidRPr="00110D25">
        <w:rPr>
          <w:rFonts w:ascii="Arial" w:hAnsi="Arial" w:cs="Arial"/>
          <w:sz w:val="20"/>
          <w:szCs w:val="20"/>
        </w:rPr>
        <w:t>Denise Bonilla</w:t>
      </w:r>
    </w:p>
    <w:p w14:paraId="06C3B30E" w14:textId="77777777" w:rsidR="00110D25" w:rsidRPr="00110D25" w:rsidRDefault="00110D25" w:rsidP="00110D25">
      <w:r w:rsidRPr="00110D25">
        <w:t xml:space="preserve">The 2026 Cattle Fever Tick Eradication Program (CFTEP) update outlines current fever tick infestations, long-term surveillance trends, and program activities in South Texas. Infestation maps and multiyear data show continued tick presence in systematic and free-area inspections, with detections remaining significant across several counties. Stray apprehension numbers vary annually, with FY26 showing activity among both cattle and equine populations. </w:t>
      </w:r>
    </w:p>
    <w:p w14:paraId="1CB8C314" w14:textId="77777777" w:rsidR="00110D25" w:rsidRPr="00110D25" w:rsidRDefault="00110D25" w:rsidP="00110D25">
      <w:r w:rsidRPr="00110D25">
        <w:t xml:space="preserve">Mitigation measures include extensive use of medicated corn feeders, molasses tubs, and BM86 vaccination efforts across thousands of animals and hundreds of premises. Wildlife surveillance in Cameron and Willacy Counties documented both clean and infested white‑tailed deer and nilgai, highlighting their role in fever tick ecology. </w:t>
      </w:r>
    </w:p>
    <w:p w14:paraId="7720A96F" w14:textId="52DE3FE6" w:rsidR="00110D25" w:rsidRDefault="00110D25" w:rsidP="00110D25">
      <w:r w:rsidRPr="00110D25">
        <w:t>Future projects include expanded geospatial mapping of wildlife indicators and completion of an environmental assessment for 43 Texas counties. A major 2025 update requires treatment of captured stray livestock for New World screwworm prior to release. Overall, CFTEP continues to integrate surveillance, wildlife monitoring, and treatment strategies to limit fever tick spread and protect cattle health.</w:t>
      </w:r>
    </w:p>
    <w:p w14:paraId="5D19A2DE" w14:textId="1C9BF3D6" w:rsidR="00110D25" w:rsidRDefault="00110D25" w:rsidP="004263D1"/>
    <w:p w14:paraId="5127B34A" w14:textId="3297BE52" w:rsidR="00516BEB" w:rsidRDefault="00516BEB" w:rsidP="00516BEB">
      <w:pPr>
        <w:rPr>
          <w:b/>
          <w:bCs/>
        </w:rPr>
      </w:pPr>
      <w:r>
        <w:rPr>
          <w:b/>
          <w:bCs/>
        </w:rPr>
        <w:t xml:space="preserve">Equine </w:t>
      </w:r>
      <w:r w:rsidRPr="00516BEB">
        <w:rPr>
          <w:b/>
          <w:bCs/>
        </w:rPr>
        <w:t>Proceedings Summary:  Committee on Parasitic &amp; Vector Borne Disease</w:t>
      </w:r>
    </w:p>
    <w:p w14:paraId="026D0BA9" w14:textId="423B849F" w:rsidR="00516BEB" w:rsidRPr="00516BEB" w:rsidRDefault="00516BEB" w:rsidP="00516BEB">
      <w:r w:rsidRPr="00516BEB">
        <w:t>Dr. Beth Ruby</w:t>
      </w:r>
    </w:p>
    <w:p w14:paraId="7B160E92" w14:textId="77777777" w:rsidR="00516BEB" w:rsidRPr="00516BEB" w:rsidRDefault="00516BEB" w:rsidP="00516BEB">
      <w:r w:rsidRPr="00516BEB">
        <w:t>Highlights of recent cases and outbreaks of equine regulatory parasitic and vector-borne diseases were presented to the committee including updates on Vesicular Stomatitis Virus (VSV), equine piroplasmosis (EP), and equine infectious anemia (EIA). The 2025–2026 VSV outbreak began in Arizona in late October 2025 and progressed into Colorado and New Mexico by May 2026. This outbreak being an incursion year with identified serotype as VSV</w:t>
      </w:r>
      <w:r w:rsidRPr="00516BEB">
        <w:noBreakHyphen/>
        <w:t xml:space="preserve">New Jersey. This incursion did affect the Salt River wild horse population in Arizona, where severe oral lesions contributed to at least one mortality. As the outbreak continues to expand northward through the Rocky Mountain region, most affected premises involved equine populations, with a number of bovine cases also being confirmed. </w:t>
      </w:r>
    </w:p>
    <w:p w14:paraId="1839FE70" w14:textId="77777777" w:rsidR="00516BEB" w:rsidRPr="00516BEB" w:rsidRDefault="00516BEB" w:rsidP="00516BEB">
      <w:r w:rsidRPr="00516BEB">
        <w:t>EIA surveillance in 2025 documented over 1.3 million tests performed nationwide, identifying 100 positive horses across 17 states. A substantial proportion of these cases occurred in Racing Quarter Horses with several multi</w:t>
      </w:r>
      <w:r w:rsidRPr="00516BEB">
        <w:noBreakHyphen/>
        <w:t>state outbreaks. There continues to be a notable change from cases occurring due to natural vector borne transmission to iatrogenic transmission. Those naturally occurring transmissions continue to be in undertested populations. Contaminated injectable substances used in sanctioned racing environments and shared heparinized saline at a veterinary clinic in Texas resulted in clusters of positive horses across multiple states. Epidemiologic investigations linked several index cases to bushtrack racing or other high</w:t>
      </w:r>
      <w:r w:rsidRPr="00516BEB">
        <w:noBreakHyphen/>
        <w:t xml:space="preserve">risk populations for iatrogenic spread. </w:t>
      </w:r>
    </w:p>
    <w:p w14:paraId="03E2CADC" w14:textId="77777777" w:rsidR="00516BEB" w:rsidRPr="00516BEB" w:rsidRDefault="00516BEB" w:rsidP="00516BEB">
      <w:r w:rsidRPr="00516BEB">
        <w:t>EP cases have continued to rise, with infections increasing from 12 cases in 2024 to 48 cases in 2026. EP is a foreign animal disease in the United States with no evidence of vector borne transmission in the US. Most affected horses were Quarter Horse racehorses, and dual infections with EIA were frequently identified. Additional cases resulted from illegal importation or foal transmission from infected mares. Treatment updates emphasized long</w:t>
      </w:r>
      <w:r w:rsidRPr="00516BEB">
        <w:noBreakHyphen/>
        <w:t>standing use of the imidocarb protocol, though the drug is currently back</w:t>
      </w:r>
      <w:r w:rsidRPr="00516BEB">
        <w:noBreakHyphen/>
        <w:t xml:space="preserve">ordered and some </w:t>
      </w:r>
      <w:r w:rsidRPr="00516BEB">
        <w:rPr>
          <w:i/>
          <w:iCs/>
        </w:rPr>
        <w:t>T. equi</w:t>
      </w:r>
      <w:r w:rsidRPr="00516BEB">
        <w:t xml:space="preserve"> strains have shown resistance. Despite isolated treatment failures, the protocol has successfully cleared infections in hundreds of cases under state and federal oversight.</w:t>
      </w:r>
    </w:p>
    <w:p w14:paraId="25E6288B" w14:textId="77777777" w:rsidR="00F768F4" w:rsidRPr="00110D25" w:rsidRDefault="00F768F4" w:rsidP="004263D1"/>
    <w:p w14:paraId="0513BDAB" w14:textId="77777777" w:rsidR="00F768F4" w:rsidRDefault="00F768F4" w:rsidP="00F768F4">
      <w:pPr>
        <w:rPr>
          <w:b/>
          <w:bCs/>
        </w:rPr>
      </w:pPr>
      <w:r w:rsidRPr="00E02D6C">
        <w:rPr>
          <w:b/>
          <w:bCs/>
        </w:rPr>
        <w:t>Updates on Priority Vector Borne Livestock Diseases from the USDA ARS Arthropod-Borne Animal Disease Research Unit</w:t>
      </w:r>
    </w:p>
    <w:p w14:paraId="615FEFA2" w14:textId="77777777" w:rsidR="00F768F4" w:rsidRDefault="00F768F4" w:rsidP="00F768F4">
      <w:r>
        <w:t>Dana Nayduch, PhD, Research Leader</w:t>
      </w:r>
    </w:p>
    <w:p w14:paraId="387901A1" w14:textId="77777777" w:rsidR="00F768F4" w:rsidRDefault="00F768F4" w:rsidP="00F768F4">
      <w:r>
        <w:t xml:space="preserve">USDA-ARS, </w:t>
      </w:r>
      <w:r w:rsidRPr="00200DB7">
        <w:t xml:space="preserve">Arthropod-Borne Animal Diseases Research Unit </w:t>
      </w:r>
    </w:p>
    <w:p w14:paraId="7B418BC5" w14:textId="77777777" w:rsidR="00F768F4" w:rsidRDefault="00F768F4" w:rsidP="00F768F4">
      <w:r w:rsidRPr="00200DB7">
        <w:t xml:space="preserve">The Arthropod-Borne Animal Diseases Research Unit (ABADRU) at USDA-ARS studies the ecology and biology of arthropod pests and </w:t>
      </w:r>
      <w:r>
        <w:t xml:space="preserve">the </w:t>
      </w:r>
      <w:r w:rsidRPr="00200DB7">
        <w:t>pathogens</w:t>
      </w:r>
      <w:r>
        <w:t xml:space="preserve"> they vector</w:t>
      </w:r>
      <w:r w:rsidRPr="00200DB7">
        <w:t xml:space="preserve"> </w:t>
      </w:r>
      <w:r>
        <w:t>with the objective being to</w:t>
      </w:r>
      <w:r w:rsidRPr="00200DB7">
        <w:t xml:space="preserve"> develop innovative and biologically-relevant solutions for arthropod-borne disease problems</w:t>
      </w:r>
      <w:r>
        <w:t xml:space="preserve"> impacting animal and public health</w:t>
      </w:r>
      <w:r w:rsidRPr="00200DB7">
        <w:t xml:space="preserve">. The ABADRU's </w:t>
      </w:r>
      <w:r>
        <w:t>goal</w:t>
      </w:r>
      <w:r w:rsidRPr="00200DB7">
        <w:t xml:space="preserve"> is to predict, prevent and mitigate the damaging effects of endemic </w:t>
      </w:r>
      <w:r>
        <w:t>arthropods and arthropod-borne diseases</w:t>
      </w:r>
      <w:r w:rsidRPr="00200DB7">
        <w:t xml:space="preserve">. </w:t>
      </w:r>
      <w:r>
        <w:t>ABADRU’s</w:t>
      </w:r>
      <w:r w:rsidRPr="00200DB7">
        <w:t xml:space="preserve"> current research projects </w:t>
      </w:r>
      <w:r>
        <w:t>center</w:t>
      </w:r>
      <w:r w:rsidRPr="00200DB7">
        <w:t xml:space="preserve"> on pathogens of livestock and other animals that are transmitted by dipteran pests</w:t>
      </w:r>
      <w:r>
        <w:t xml:space="preserve">, primarily biting midges and house flies. Research updates from 2025 and 2026 will be provided, particularly highlighting recent studies on: (1) Modeling vesicular stomatitis virus incursions into the US (2), Infection dynamics of </w:t>
      </w:r>
      <w:proofErr w:type="spellStart"/>
      <w:r>
        <w:t>Oropouche</w:t>
      </w:r>
      <w:proofErr w:type="spellEnd"/>
      <w:r>
        <w:t xml:space="preserve"> virus in </w:t>
      </w:r>
      <w:r w:rsidRPr="00E02D6C">
        <w:rPr>
          <w:i/>
          <w:iCs/>
        </w:rPr>
        <w:t xml:space="preserve">Culicoides </w:t>
      </w:r>
      <w:proofErr w:type="spellStart"/>
      <w:r w:rsidRPr="00E02D6C">
        <w:rPr>
          <w:i/>
          <w:iCs/>
        </w:rPr>
        <w:t>sonorensis</w:t>
      </w:r>
      <w:proofErr w:type="spellEnd"/>
      <w:r>
        <w:t xml:space="preserve">, (3) Microbial communities of cattle-associated house flies, (4) Insecticide resistance in </w:t>
      </w:r>
      <w:r w:rsidRPr="00E02D6C">
        <w:rPr>
          <w:i/>
          <w:iCs/>
        </w:rPr>
        <w:t>Culicoides</w:t>
      </w:r>
      <w:r>
        <w:t xml:space="preserve"> spp., (5) Characterization of biting midge larval habitats. Other ongoing projects in the unit related to ‘omics tools and datasets, field surveillance of vectors and pathogens, and vector biology ecology and behavior also will be briefly summarized.</w:t>
      </w:r>
    </w:p>
    <w:p w14:paraId="4357F69F" w14:textId="77777777" w:rsidR="006C4E8B" w:rsidRPr="00AB029F" w:rsidRDefault="006C4E8B" w:rsidP="006C4E8B">
      <w:pPr>
        <w:tabs>
          <w:tab w:val="left" w:pos="-1126"/>
          <w:tab w:val="left" w:pos="-720"/>
          <w:tab w:val="left" w:pos="0"/>
          <w:tab w:val="left" w:pos="2322"/>
          <w:tab w:val="left" w:pos="2880"/>
          <w:tab w:val="left" w:pos="3600"/>
          <w:tab w:val="left" w:pos="4320"/>
          <w:tab w:val="left" w:pos="5040"/>
          <w:tab w:val="left" w:pos="5760"/>
          <w:tab w:val="left" w:pos="6480"/>
          <w:tab w:val="left" w:pos="7200"/>
          <w:tab w:val="left" w:pos="7920"/>
          <w:tab w:val="left" w:pos="8640"/>
          <w:tab w:val="left" w:pos="9360"/>
          <w:tab w:val="left" w:pos="964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highlight w:val="yellow"/>
        </w:rPr>
      </w:pPr>
    </w:p>
    <w:p w14:paraId="4197DC01" w14:textId="77777777" w:rsidR="00AB4214" w:rsidRDefault="00AB4214" w:rsidP="00AB4214"/>
    <w:p w14:paraId="3D19D098" w14:textId="517A83FC" w:rsidR="00E87714" w:rsidRDefault="00396378" w:rsidP="0095554B">
      <w:pPr>
        <w:rPr>
          <w:b/>
          <w:bCs/>
        </w:rPr>
      </w:pPr>
      <w:r>
        <w:rPr>
          <w:b/>
          <w:bCs/>
        </w:rPr>
        <w:t>New World Screwworm Rapid Response: Partnering to Combat the Re-emergence of New World Screwworm in the US</w:t>
      </w:r>
    </w:p>
    <w:p w14:paraId="64262F24" w14:textId="4462FF5D" w:rsidR="00396378" w:rsidRDefault="00396378" w:rsidP="0095554B">
      <w:r>
        <w:t>Dr. Kim Lohmeyer</w:t>
      </w:r>
    </w:p>
    <w:p w14:paraId="24EB71CC" w14:textId="30D8F0A9" w:rsidR="00396378" w:rsidRDefault="00396378" w:rsidP="0095554B">
      <w:r>
        <w:t>Dr. TR Lansford</w:t>
      </w:r>
    </w:p>
    <w:p w14:paraId="114B806E" w14:textId="77777777" w:rsidR="008C2DC0" w:rsidRDefault="008C2DC0" w:rsidP="008C2DC0">
      <w:pPr>
        <w:ind w:firstLine="720"/>
      </w:pPr>
      <w:r>
        <w:lastRenderedPageBreak/>
        <w:t xml:space="preserve">The USDA Agricultural Research Service (ARS) </w:t>
      </w:r>
      <w:proofErr w:type="spellStart"/>
      <w:r>
        <w:t>Knipling</w:t>
      </w:r>
      <w:proofErr w:type="spellEnd"/>
      <w:r>
        <w:t>-Bushland U.S. Livestock Insects Research Laboratory (KBUSLIRL) in Kerrville, TX, opened its new state of the art facility on May 27</w:t>
      </w:r>
      <w:r>
        <w:rPr>
          <w:vertAlign w:val="superscript"/>
        </w:rPr>
        <w:t xml:space="preserve">, </w:t>
      </w:r>
      <w:r>
        <w:t>2026. The new 52K ft</w:t>
      </w:r>
      <w:r>
        <w:rPr>
          <w:vertAlign w:val="superscript"/>
        </w:rPr>
        <w:t xml:space="preserve">2 </w:t>
      </w:r>
      <w:r>
        <w:t>facility houses two of the laboratory’s three research units: the Livestock Arthropod Pest Research Unit and the Veterinary Pests Genetics Unit. Collectively, these units improve the health and profitability of U.S. livestock production and protect our U.S. food supply from devastating arthropod pests including biting flies, ticks and the New World screwworm (NWS).</w:t>
      </w:r>
    </w:p>
    <w:p w14:paraId="188AC76B" w14:textId="77777777" w:rsidR="008C2DC0" w:rsidRDefault="008C2DC0" w:rsidP="008C2DC0">
      <w:r>
        <w:t xml:space="preserve">The newly completed facility provides cutting-edge laboratory spaces, arthropod quarantine spaces, cattle handling and research facilities, and a genomics core that is being used to conduct research that will benefit the U.S. livestock industry by providing innovative control technologies. Research projects include efforts to improve surveillance and trapping tools, novel insecticides and acaracides, enhanced pesticide delivery techniques for cattle and wildlife, sustainable treatments to prevent and mitigate outbreaks of invasive/quarantine arthropod species, improved approaches to combat pesticide resistance, insect genomics to identify pest vulnerabilities. </w:t>
      </w:r>
    </w:p>
    <w:p w14:paraId="1F1103FA" w14:textId="77777777" w:rsidR="008C2DC0" w:rsidRDefault="008C2DC0" w:rsidP="008C2DC0">
      <w:r>
        <w:tab/>
        <w:t xml:space="preserve">Since the first U.S./Texas case, ARS has been putting the new KBUSLIRL facility to good use to combat NWS. Rapid response efforts in partnership with the Texas Animal Health Commission (TAHC), USDA-APHIS, Texas Parks and Wildlife (TPWD) and the Texas Department of Emergency Management (TDEM) have included identification of larval fly samples from across the state. Suspect NWS samples collected from animal wounds are submitted for rapid identification, a process that involves true teamwork from our federal and state partners to get samples transported as quickly as possible </w:t>
      </w:r>
      <w:proofErr w:type="gramStart"/>
      <w:r>
        <w:t>in order to</w:t>
      </w:r>
      <w:proofErr w:type="gramEnd"/>
      <w:r>
        <w:t xml:space="preserve"> facilitate rapid identification. This process has required significant expertise and support in the field from TAHC and APHIS and coordination of rapid suspect sample transport with assistance from TAHC and TDEM. </w:t>
      </w:r>
    </w:p>
    <w:p w14:paraId="6AD258D2" w14:textId="77777777" w:rsidR="008C2DC0" w:rsidRDefault="008C2DC0" w:rsidP="008C2DC0">
      <w:r>
        <w:tab/>
        <w:t xml:space="preserve">Other cross agency efforts to help mitigate NWS have included providing a home-base for APHIS adult fly trapping efforts in Central Texas and hosting the APHIS New World Screwworm Incident Management Team. Having ARS and APHIS NWS teams working in same location has helped advance Agency efforts to mitigate NWS and promote collaborations. Additionally, KBUSLIRL is partnering with APHIS NVSL to host and help lead NWS identification training and proficiency testing for state partners. </w:t>
      </w:r>
    </w:p>
    <w:p w14:paraId="22A669AD" w14:textId="77777777" w:rsidR="008C2DC0" w:rsidRDefault="008C2DC0" w:rsidP="008C2DC0">
      <w:pPr>
        <w:ind w:firstLine="720"/>
      </w:pPr>
      <w:r>
        <w:t>The first domestic case of NWS in Texas in 44 years was confirmed on June 3, 2026, in Zavala County. Since that time, an additional 51 cases have been confirmed in 22 counties. TAHC and TPWD, as leaders of the Texas Screwworm Response Team, initiated an emergency response on June 3, rapidly establishing a unified command structure with TAHC, TPWD, and the USDA-APHIS Veterinary Services.</w:t>
      </w:r>
    </w:p>
    <w:p w14:paraId="6530CF36" w14:textId="77777777" w:rsidR="008C2DC0" w:rsidRDefault="008C2DC0" w:rsidP="008C2DC0">
      <w:pPr>
        <w:ind w:firstLine="720"/>
      </w:pPr>
      <w:r>
        <w:t>Texas Governor Greg Abbott declared a state of emergency on June 5, 2026, for all Texas counties to respond to NWS, authorizing the use of all state assets to be leveraged in the response to eradicate NWS. Multiple Texas agencies have answered the call to assist in the response in Texas, allowing for the successful implementation of the Texas NWS response plan and the USDA NWS Playbook.</w:t>
      </w:r>
    </w:p>
    <w:p w14:paraId="23B5A729" w14:textId="1C8A41C1" w:rsidR="008C2DC0" w:rsidRPr="00396378" w:rsidRDefault="008C2DC0" w:rsidP="008C2DC0">
      <w:r>
        <w:rPr>
          <w:kern w:val="0"/>
          <w14:ligatures w14:val="none"/>
        </w:rPr>
        <w:t>The rapid implementation of a collaborative unified command structure coupled with the support across state and federal agencies has resulted in a highly effective response to control, mitigate, and eradicate NWS from Texas.</w:t>
      </w:r>
    </w:p>
    <w:p w14:paraId="76D7F3D8" w14:textId="77777777" w:rsidR="00E87714" w:rsidRDefault="00E87714" w:rsidP="0095554B">
      <w:pPr>
        <w:rPr>
          <w:b/>
          <w:bCs/>
        </w:rPr>
      </w:pPr>
    </w:p>
    <w:p w14:paraId="41BE46E7" w14:textId="77777777" w:rsidR="00E87714" w:rsidRDefault="00E87714" w:rsidP="0095554B">
      <w:pPr>
        <w:rPr>
          <w:b/>
          <w:bCs/>
        </w:rPr>
      </w:pPr>
    </w:p>
    <w:p w14:paraId="558CD478" w14:textId="55B2A705" w:rsidR="0095554B" w:rsidRDefault="0095554B" w:rsidP="0095554B">
      <w:pPr>
        <w:rPr>
          <w:b/>
          <w:bCs/>
        </w:rPr>
      </w:pPr>
      <w:r>
        <w:rPr>
          <w:b/>
          <w:bCs/>
        </w:rPr>
        <w:t xml:space="preserve">Committee Business: </w:t>
      </w:r>
    </w:p>
    <w:p w14:paraId="17C5AC3C" w14:textId="4AAFCEF3" w:rsidR="00655965" w:rsidRPr="00655965" w:rsidRDefault="00655965" w:rsidP="00CC7693">
      <w:bookmarkStart w:id="0" w:name="_Hlk243334496"/>
    </w:p>
    <w:bookmarkEnd w:id="0"/>
    <w:p w14:paraId="18F37E84" w14:textId="48CF69D9" w:rsidR="00A3553A" w:rsidRPr="00676D63" w:rsidRDefault="00A3553A" w:rsidP="00A3553A">
      <w:r w:rsidRPr="00676D63">
        <w:t>Meeting called to order at</w:t>
      </w:r>
      <w:r w:rsidRPr="00C06F26">
        <w:rPr>
          <w:color w:val="FF0000"/>
        </w:rPr>
        <w:t xml:space="preserve"> </w:t>
      </w:r>
      <w:r w:rsidR="00C73C18" w:rsidRPr="003F65C4">
        <w:t>5:10</w:t>
      </w:r>
      <w:r w:rsidR="00CC7693" w:rsidRPr="003F65C4">
        <w:t xml:space="preserve"> </w:t>
      </w:r>
      <w:r w:rsidRPr="00676D63">
        <w:t>PM</w:t>
      </w:r>
    </w:p>
    <w:p w14:paraId="50494852" w14:textId="77777777" w:rsidR="00A3553A" w:rsidRPr="00676D63" w:rsidRDefault="00A3553A" w:rsidP="00A3553A"/>
    <w:p w14:paraId="26685EBD" w14:textId="77777777" w:rsidR="00A3553A" w:rsidRPr="00676D63" w:rsidRDefault="00A3553A" w:rsidP="00A3553A">
      <w:pPr>
        <w:pStyle w:val="ListParagraph"/>
        <w:numPr>
          <w:ilvl w:val="0"/>
          <w:numId w:val="3"/>
        </w:numPr>
      </w:pPr>
      <w:r w:rsidRPr="00676D63">
        <w:t>Review of mission</w:t>
      </w:r>
    </w:p>
    <w:p w14:paraId="0E439037" w14:textId="77777777" w:rsidR="008C2DC0" w:rsidRDefault="00A3553A" w:rsidP="008C2DC0">
      <w:pPr>
        <w:pStyle w:val="ListParagraph"/>
        <w:numPr>
          <w:ilvl w:val="0"/>
          <w:numId w:val="3"/>
        </w:numPr>
        <w:tabs>
          <w:tab w:val="left" w:pos="-720"/>
        </w:tabs>
        <w:suppressAutoHyphens/>
        <w:jc w:val="both"/>
      </w:pPr>
      <w:r w:rsidRPr="00676D63">
        <w:t xml:space="preserve">Old Business </w:t>
      </w:r>
    </w:p>
    <w:p w14:paraId="220F795C" w14:textId="13819033" w:rsidR="008C2DC0" w:rsidRDefault="008C2DC0" w:rsidP="008C2DC0">
      <w:pPr>
        <w:pStyle w:val="ListParagraph"/>
        <w:numPr>
          <w:ilvl w:val="1"/>
          <w:numId w:val="3"/>
        </w:numPr>
        <w:tabs>
          <w:tab w:val="left" w:pos="-720"/>
        </w:tabs>
        <w:suppressAutoHyphens/>
        <w:jc w:val="both"/>
      </w:pPr>
      <w:r>
        <w:t xml:space="preserve">The committee reviewed 2024 Resolution #27, New World Screwworm </w:t>
      </w:r>
      <w:r w:rsidR="00C73C18">
        <w:t xml:space="preserve">(NWS) </w:t>
      </w:r>
      <w:r>
        <w:t xml:space="preserve">Eradication. The committee selected </w:t>
      </w:r>
    </w:p>
    <w:p w14:paraId="5B8453FC" w14:textId="41BC9954" w:rsidR="00C73C18" w:rsidRPr="00C73C18" w:rsidRDefault="00C73C18" w:rsidP="00C73C18">
      <w:pPr>
        <w:numPr>
          <w:ilvl w:val="2"/>
          <w:numId w:val="3"/>
        </w:numPr>
      </w:pPr>
      <w:r>
        <w:t>Motion to accept “</w:t>
      </w:r>
      <w:r w:rsidRPr="00C73C18">
        <w:t>Response is sufficient for the current time; however additional follow-up will be needed.</w:t>
      </w:r>
      <w:r>
        <w:t>” There is an additional NWS resolution this year.</w:t>
      </w:r>
    </w:p>
    <w:p w14:paraId="532ABE64" w14:textId="77777777" w:rsidR="00C73C18" w:rsidRDefault="00C73C18" w:rsidP="00F920BE">
      <w:pPr>
        <w:numPr>
          <w:ilvl w:val="3"/>
          <w:numId w:val="3"/>
        </w:numPr>
      </w:pPr>
      <w:r>
        <w:t xml:space="preserve">Moved: </w:t>
      </w:r>
      <w:r w:rsidR="008F10E0">
        <w:t>Mike Neault</w:t>
      </w:r>
    </w:p>
    <w:p w14:paraId="7770C0A2" w14:textId="257D4F11" w:rsidR="008F10E0" w:rsidRDefault="00C73C18" w:rsidP="00F920BE">
      <w:pPr>
        <w:numPr>
          <w:ilvl w:val="3"/>
          <w:numId w:val="3"/>
        </w:numPr>
      </w:pPr>
      <w:r>
        <w:t xml:space="preserve">Second: </w:t>
      </w:r>
      <w:r w:rsidR="008F10E0">
        <w:t>Nicki Humphrey</w:t>
      </w:r>
    </w:p>
    <w:p w14:paraId="1FC14160" w14:textId="5006D36A" w:rsidR="008F10E0" w:rsidRDefault="00C73C18" w:rsidP="003F65C4">
      <w:pPr>
        <w:numPr>
          <w:ilvl w:val="3"/>
          <w:numId w:val="3"/>
        </w:numPr>
      </w:pPr>
      <w:r>
        <w:t xml:space="preserve">Action: </w:t>
      </w:r>
      <w:r w:rsidR="008F10E0">
        <w:t>passed</w:t>
      </w:r>
    </w:p>
    <w:p w14:paraId="5A83AE8A" w14:textId="77777777" w:rsidR="008C2DC0" w:rsidRDefault="00A3553A" w:rsidP="008C2DC0">
      <w:pPr>
        <w:pStyle w:val="ListParagraph"/>
        <w:numPr>
          <w:ilvl w:val="0"/>
          <w:numId w:val="3"/>
        </w:numPr>
        <w:tabs>
          <w:tab w:val="left" w:pos="-720"/>
        </w:tabs>
        <w:suppressAutoHyphens/>
        <w:jc w:val="both"/>
      </w:pPr>
      <w:r w:rsidRPr="00676D63">
        <w:t xml:space="preserve">New Business – </w:t>
      </w:r>
    </w:p>
    <w:p w14:paraId="4E65CEB8" w14:textId="69208227" w:rsidR="00C73C18" w:rsidRDefault="00C73C18" w:rsidP="00C73C18">
      <w:pPr>
        <w:pStyle w:val="ListParagraph"/>
        <w:numPr>
          <w:ilvl w:val="1"/>
          <w:numId w:val="3"/>
        </w:numPr>
        <w:tabs>
          <w:tab w:val="left" w:pos="-720"/>
        </w:tabs>
        <w:suppressAutoHyphens/>
        <w:jc w:val="both"/>
      </w:pPr>
      <w:r>
        <w:t xml:space="preserve">PVBD Resolution </w:t>
      </w:r>
      <w:r>
        <w:t xml:space="preserve">on New World screwworm </w:t>
      </w:r>
      <w:r>
        <w:t xml:space="preserve">- Consideration and adoption of a resolution </w:t>
      </w:r>
      <w:r>
        <w:t>for the eradication of New World screwworm from the US, Mexico, and Central America</w:t>
      </w:r>
    </w:p>
    <w:p w14:paraId="32B84322" w14:textId="241FE864" w:rsidR="00C73C18" w:rsidRDefault="00C73C18" w:rsidP="00C73C18">
      <w:pPr>
        <w:pStyle w:val="ListParagraph"/>
        <w:numPr>
          <w:ilvl w:val="2"/>
          <w:numId w:val="3"/>
        </w:numPr>
      </w:pPr>
      <w:r>
        <w:t xml:space="preserve">Resolution presented and read by </w:t>
      </w:r>
      <w:r w:rsidR="00AB38E3">
        <w:t>Dr. Hasel</w:t>
      </w:r>
    </w:p>
    <w:p w14:paraId="68BC34EE" w14:textId="77777777" w:rsidR="00C73C18" w:rsidRDefault="00C73C18" w:rsidP="00C73C18">
      <w:pPr>
        <w:pStyle w:val="ListParagraph"/>
        <w:numPr>
          <w:ilvl w:val="2"/>
          <w:numId w:val="3"/>
        </w:numPr>
        <w:tabs>
          <w:tab w:val="left" w:pos="-720"/>
        </w:tabs>
        <w:suppressAutoHyphens/>
        <w:jc w:val="both"/>
      </w:pPr>
      <w:r>
        <w:t>Discussion</w:t>
      </w:r>
    </w:p>
    <w:p w14:paraId="17EA7913" w14:textId="6664147D" w:rsidR="00AB38E3" w:rsidRDefault="00AB38E3" w:rsidP="00AB38E3">
      <w:pPr>
        <w:pStyle w:val="ListParagraph"/>
        <w:numPr>
          <w:ilvl w:val="3"/>
          <w:numId w:val="3"/>
        </w:numPr>
        <w:tabs>
          <w:tab w:val="left" w:pos="-720"/>
        </w:tabs>
        <w:suppressAutoHyphens/>
        <w:jc w:val="both"/>
      </w:pPr>
      <w:r>
        <w:t>Clarification of intent and discussion on whether to specifically include vaccine development</w:t>
      </w:r>
    </w:p>
    <w:p w14:paraId="6DCBBCE9" w14:textId="7B8F8F17" w:rsidR="00AB38E3" w:rsidRDefault="00AB38E3" w:rsidP="00C73C18">
      <w:pPr>
        <w:pStyle w:val="ListParagraph"/>
        <w:numPr>
          <w:ilvl w:val="2"/>
          <w:numId w:val="3"/>
        </w:numPr>
        <w:tabs>
          <w:tab w:val="left" w:pos="-720"/>
        </w:tabs>
        <w:suppressAutoHyphens/>
        <w:jc w:val="both"/>
      </w:pPr>
      <w:r>
        <w:t xml:space="preserve">Call for </w:t>
      </w:r>
      <w:r w:rsidR="00C73C18">
        <w:t xml:space="preserve">Vote </w:t>
      </w:r>
      <w:r>
        <w:t>–</w:t>
      </w:r>
    </w:p>
    <w:p w14:paraId="2BB4E88E" w14:textId="77777777" w:rsidR="00AB38E3" w:rsidRDefault="00AB38E3" w:rsidP="00AB38E3">
      <w:pPr>
        <w:pStyle w:val="ListParagraph"/>
        <w:numPr>
          <w:ilvl w:val="3"/>
          <w:numId w:val="3"/>
        </w:numPr>
        <w:tabs>
          <w:tab w:val="left" w:pos="-720"/>
        </w:tabs>
        <w:suppressAutoHyphens/>
        <w:jc w:val="both"/>
      </w:pPr>
      <w:r>
        <w:t xml:space="preserve">Moved: Steve </w:t>
      </w:r>
      <w:r w:rsidR="00C73C18">
        <w:t xml:space="preserve">Velasco </w:t>
      </w:r>
    </w:p>
    <w:p w14:paraId="17478633" w14:textId="46C442DD" w:rsidR="00C73C18" w:rsidRDefault="00AB38E3" w:rsidP="00AB38E3">
      <w:pPr>
        <w:pStyle w:val="ListParagraph"/>
        <w:numPr>
          <w:ilvl w:val="3"/>
          <w:numId w:val="3"/>
        </w:numPr>
        <w:tabs>
          <w:tab w:val="left" w:pos="-720"/>
        </w:tabs>
        <w:suppressAutoHyphens/>
        <w:jc w:val="both"/>
      </w:pPr>
      <w:r>
        <w:t>Second: Thach Winslow</w:t>
      </w:r>
    </w:p>
    <w:p w14:paraId="2DF4100B" w14:textId="73194956" w:rsidR="00C73C18" w:rsidRDefault="00C73C18" w:rsidP="00C73C18">
      <w:pPr>
        <w:pStyle w:val="ListParagraph"/>
        <w:numPr>
          <w:ilvl w:val="2"/>
          <w:numId w:val="3"/>
        </w:numPr>
        <w:tabs>
          <w:tab w:val="left" w:pos="-720"/>
        </w:tabs>
        <w:suppressAutoHyphens/>
        <w:jc w:val="both"/>
      </w:pPr>
      <w:r>
        <w:t>Action</w:t>
      </w:r>
      <w:r w:rsidR="003F65C4">
        <w:t xml:space="preserve">: </w:t>
      </w:r>
      <w:r>
        <w:t>Passed</w:t>
      </w:r>
    </w:p>
    <w:p w14:paraId="02E78A76" w14:textId="77777777" w:rsidR="00AB38E3" w:rsidRDefault="00C06F26" w:rsidP="008C2DC0">
      <w:pPr>
        <w:pStyle w:val="ListParagraph"/>
        <w:numPr>
          <w:ilvl w:val="1"/>
          <w:numId w:val="3"/>
        </w:numPr>
        <w:tabs>
          <w:tab w:val="left" w:pos="-720"/>
        </w:tabs>
        <w:suppressAutoHyphens/>
        <w:jc w:val="both"/>
      </w:pPr>
      <w:proofErr w:type="spellStart"/>
      <w:r>
        <w:t>Theileria</w:t>
      </w:r>
      <w:proofErr w:type="spellEnd"/>
      <w:r>
        <w:t xml:space="preserve"> Subcommittee Report</w:t>
      </w:r>
    </w:p>
    <w:p w14:paraId="7CA9F553" w14:textId="77777777" w:rsidR="00AB38E3" w:rsidRDefault="00AB38E3" w:rsidP="00AB38E3">
      <w:pPr>
        <w:pStyle w:val="ListParagraph"/>
        <w:numPr>
          <w:ilvl w:val="2"/>
          <w:numId w:val="3"/>
        </w:numPr>
        <w:tabs>
          <w:tab w:val="left" w:pos="-720"/>
        </w:tabs>
        <w:suppressAutoHyphens/>
        <w:jc w:val="both"/>
      </w:pPr>
      <w:r>
        <w:lastRenderedPageBreak/>
        <w:t>Motion to accept the subcommittee report as written and provided</w:t>
      </w:r>
    </w:p>
    <w:p w14:paraId="46C28D0D" w14:textId="77777777" w:rsidR="00AB38E3" w:rsidRDefault="00AB38E3" w:rsidP="00AB38E3">
      <w:pPr>
        <w:pStyle w:val="ListParagraph"/>
        <w:numPr>
          <w:ilvl w:val="3"/>
          <w:numId w:val="3"/>
        </w:numPr>
        <w:tabs>
          <w:tab w:val="left" w:pos="-720"/>
        </w:tabs>
        <w:suppressAutoHyphens/>
        <w:jc w:val="both"/>
      </w:pPr>
      <w:r>
        <w:t>Moved:</w:t>
      </w:r>
      <w:r w:rsidR="008F10E0">
        <w:t xml:space="preserve"> </w:t>
      </w:r>
      <w:proofErr w:type="spellStart"/>
      <w:r w:rsidR="008F10E0">
        <w:t>JaneMarie</w:t>
      </w:r>
      <w:proofErr w:type="spellEnd"/>
      <w:r>
        <w:t xml:space="preserve"> </w:t>
      </w:r>
      <w:proofErr w:type="spellStart"/>
      <w:r>
        <w:t>Hannebell</w:t>
      </w:r>
      <w:proofErr w:type="spellEnd"/>
    </w:p>
    <w:p w14:paraId="0FAA9870" w14:textId="428D592F" w:rsidR="008C2DC0" w:rsidRDefault="00AB38E3" w:rsidP="00AB38E3">
      <w:pPr>
        <w:pStyle w:val="ListParagraph"/>
        <w:numPr>
          <w:ilvl w:val="3"/>
          <w:numId w:val="3"/>
        </w:numPr>
        <w:tabs>
          <w:tab w:val="left" w:pos="-720"/>
        </w:tabs>
        <w:suppressAutoHyphens/>
        <w:jc w:val="both"/>
      </w:pPr>
      <w:r>
        <w:t>Second: Diane</w:t>
      </w:r>
      <w:r w:rsidR="008F10E0">
        <w:t xml:space="preserve"> Kitchen</w:t>
      </w:r>
    </w:p>
    <w:p w14:paraId="67593E88" w14:textId="6B04A7DC" w:rsidR="00AB38E3" w:rsidRDefault="00AB38E3" w:rsidP="00AB38E3">
      <w:pPr>
        <w:pStyle w:val="ListParagraph"/>
        <w:numPr>
          <w:ilvl w:val="2"/>
          <w:numId w:val="3"/>
        </w:numPr>
        <w:tabs>
          <w:tab w:val="left" w:pos="-720"/>
        </w:tabs>
        <w:suppressAutoHyphens/>
        <w:jc w:val="both"/>
      </w:pPr>
      <w:r>
        <w:t>Action - passed</w:t>
      </w:r>
    </w:p>
    <w:p w14:paraId="7BA848F2" w14:textId="5D5D528B" w:rsidR="008C2DC0" w:rsidRDefault="008C2DC0" w:rsidP="008C2DC0">
      <w:pPr>
        <w:pStyle w:val="ListParagraph"/>
        <w:numPr>
          <w:ilvl w:val="1"/>
          <w:numId w:val="3"/>
        </w:numPr>
        <w:tabs>
          <w:tab w:val="left" w:pos="-720"/>
        </w:tabs>
        <w:suppressAutoHyphens/>
        <w:jc w:val="both"/>
      </w:pPr>
      <w:proofErr w:type="spellStart"/>
      <w:r>
        <w:t>Theileria</w:t>
      </w:r>
      <w:proofErr w:type="spellEnd"/>
      <w:r>
        <w:t xml:space="preserve"> Subcommittee </w:t>
      </w:r>
      <w:r w:rsidR="00C06F26">
        <w:t>Resolution</w:t>
      </w:r>
      <w:r>
        <w:t xml:space="preserve"> – Consideration and adoption of a resolution on bovine Theileriosis</w:t>
      </w:r>
    </w:p>
    <w:p w14:paraId="585548C6" w14:textId="789CA213" w:rsidR="008C2DC0" w:rsidRDefault="008C2DC0" w:rsidP="008C2DC0">
      <w:pPr>
        <w:pStyle w:val="ListParagraph"/>
        <w:numPr>
          <w:ilvl w:val="2"/>
          <w:numId w:val="3"/>
        </w:numPr>
        <w:tabs>
          <w:tab w:val="left" w:pos="-720"/>
        </w:tabs>
        <w:suppressAutoHyphens/>
        <w:jc w:val="both"/>
      </w:pPr>
      <w:r>
        <w:t xml:space="preserve">Resolution presented and read by </w:t>
      </w:r>
      <w:r w:rsidR="00AB38E3">
        <w:t>Dr. Hallie Hasel</w:t>
      </w:r>
    </w:p>
    <w:p w14:paraId="43BBF729" w14:textId="2E80C6FD" w:rsidR="00AB38E3" w:rsidRDefault="00AB38E3" w:rsidP="008C2DC0">
      <w:pPr>
        <w:pStyle w:val="ListParagraph"/>
        <w:numPr>
          <w:ilvl w:val="2"/>
          <w:numId w:val="3"/>
        </w:numPr>
        <w:tabs>
          <w:tab w:val="left" w:pos="-720"/>
        </w:tabs>
        <w:suppressAutoHyphens/>
        <w:jc w:val="both"/>
      </w:pPr>
      <w:r>
        <w:t>Motion to amend</w:t>
      </w:r>
    </w:p>
    <w:p w14:paraId="727C0F33" w14:textId="3A65C224" w:rsidR="00AB38E3" w:rsidRDefault="00AB38E3" w:rsidP="00AB38E3">
      <w:pPr>
        <w:pStyle w:val="ListParagraph"/>
        <w:numPr>
          <w:ilvl w:val="3"/>
          <w:numId w:val="3"/>
        </w:numPr>
        <w:tabs>
          <w:tab w:val="left" w:pos="-720"/>
        </w:tabs>
        <w:suppressAutoHyphens/>
        <w:jc w:val="both"/>
      </w:pPr>
      <w:r>
        <w:t>Moved: Diane Kitchen</w:t>
      </w:r>
    </w:p>
    <w:p w14:paraId="13846CE4" w14:textId="25523D3D" w:rsidR="00AB38E3" w:rsidRDefault="00AB38E3" w:rsidP="00AB38E3">
      <w:pPr>
        <w:pStyle w:val="ListParagraph"/>
        <w:numPr>
          <w:ilvl w:val="3"/>
          <w:numId w:val="3"/>
        </w:numPr>
        <w:tabs>
          <w:tab w:val="left" w:pos="-720"/>
        </w:tabs>
        <w:suppressAutoHyphens/>
        <w:jc w:val="both"/>
      </w:pPr>
      <w:r>
        <w:t>Second: Thach Winslow</w:t>
      </w:r>
    </w:p>
    <w:p w14:paraId="11C55B1B" w14:textId="19C0B2C4" w:rsidR="008C2DC0" w:rsidRDefault="00AB38E3" w:rsidP="00AB38E3">
      <w:pPr>
        <w:pStyle w:val="ListParagraph"/>
        <w:numPr>
          <w:ilvl w:val="3"/>
          <w:numId w:val="3"/>
        </w:numPr>
        <w:tabs>
          <w:tab w:val="left" w:pos="-720"/>
        </w:tabs>
        <w:suppressAutoHyphens/>
        <w:jc w:val="both"/>
      </w:pPr>
      <w:r>
        <w:t>Discussion</w:t>
      </w:r>
    </w:p>
    <w:p w14:paraId="13BD0405" w14:textId="687ADCFB" w:rsidR="00AB38E3" w:rsidRDefault="00AB38E3" w:rsidP="00AB38E3">
      <w:pPr>
        <w:pStyle w:val="ListParagraph"/>
        <w:numPr>
          <w:ilvl w:val="4"/>
          <w:numId w:val="3"/>
        </w:numPr>
        <w:tabs>
          <w:tab w:val="left" w:pos="-720"/>
        </w:tabs>
        <w:suppressAutoHyphens/>
        <w:jc w:val="both"/>
      </w:pPr>
      <w:r>
        <w:t>Dr. Kitchen proposed wording to amend the resolution to make it actionable</w:t>
      </w:r>
    </w:p>
    <w:p w14:paraId="367879D4" w14:textId="1E90D4AA" w:rsidR="00AB38E3" w:rsidRDefault="003F65C4" w:rsidP="008C2DC0">
      <w:pPr>
        <w:pStyle w:val="ListParagraph"/>
        <w:numPr>
          <w:ilvl w:val="3"/>
          <w:numId w:val="3"/>
        </w:numPr>
        <w:tabs>
          <w:tab w:val="left" w:pos="-720"/>
        </w:tabs>
        <w:suppressAutoHyphens/>
        <w:jc w:val="both"/>
      </w:pPr>
      <w:r>
        <w:t>Call for vote</w:t>
      </w:r>
      <w:r w:rsidR="00AB38E3">
        <w:t xml:space="preserve"> to accept amendments</w:t>
      </w:r>
    </w:p>
    <w:p w14:paraId="31CD1747" w14:textId="0D0B13FC" w:rsidR="008C2DC0" w:rsidRDefault="00AB38E3" w:rsidP="00AB38E3">
      <w:pPr>
        <w:pStyle w:val="ListParagraph"/>
        <w:numPr>
          <w:ilvl w:val="4"/>
          <w:numId w:val="3"/>
        </w:numPr>
        <w:tabs>
          <w:tab w:val="left" w:pos="-720"/>
        </w:tabs>
        <w:suppressAutoHyphens/>
        <w:jc w:val="both"/>
      </w:pPr>
      <w:r>
        <w:t>Moved</w:t>
      </w:r>
      <w:r w:rsidR="008C2DC0">
        <w:t xml:space="preserve">: </w:t>
      </w:r>
      <w:r>
        <w:t>Diane Kitchen</w:t>
      </w:r>
    </w:p>
    <w:p w14:paraId="13F94482" w14:textId="05CF6716" w:rsidR="00AB38E3" w:rsidRDefault="00AB38E3" w:rsidP="00AB38E3">
      <w:pPr>
        <w:pStyle w:val="ListParagraph"/>
        <w:numPr>
          <w:ilvl w:val="4"/>
          <w:numId w:val="3"/>
        </w:numPr>
        <w:tabs>
          <w:tab w:val="left" w:pos="-720"/>
        </w:tabs>
        <w:suppressAutoHyphens/>
        <w:jc w:val="both"/>
      </w:pPr>
      <w:r>
        <w:t>Second: Thach Winslow</w:t>
      </w:r>
    </w:p>
    <w:p w14:paraId="30A93D1E" w14:textId="77777777" w:rsidR="00AB38E3" w:rsidRDefault="00AB38E3" w:rsidP="00AB38E3">
      <w:pPr>
        <w:pStyle w:val="ListParagraph"/>
        <w:numPr>
          <w:ilvl w:val="2"/>
          <w:numId w:val="3"/>
        </w:numPr>
        <w:tabs>
          <w:tab w:val="left" w:pos="-720"/>
        </w:tabs>
        <w:suppressAutoHyphens/>
        <w:jc w:val="both"/>
      </w:pPr>
      <w:r>
        <w:t>Call for vote:</w:t>
      </w:r>
    </w:p>
    <w:p w14:paraId="1D2BD4B8" w14:textId="46547B9B" w:rsidR="008C2DC0" w:rsidRDefault="00AB38E3" w:rsidP="00AB38E3">
      <w:pPr>
        <w:pStyle w:val="ListParagraph"/>
        <w:numPr>
          <w:ilvl w:val="3"/>
          <w:numId w:val="3"/>
        </w:numPr>
        <w:tabs>
          <w:tab w:val="left" w:pos="-720"/>
        </w:tabs>
        <w:suppressAutoHyphens/>
        <w:jc w:val="both"/>
      </w:pPr>
      <w:r>
        <w:t xml:space="preserve">Moved: </w:t>
      </w:r>
      <w:r w:rsidR="003F65C4">
        <w:t>Diane Kitchen</w:t>
      </w:r>
    </w:p>
    <w:p w14:paraId="2DF76E34" w14:textId="45049662" w:rsidR="003F65C4" w:rsidRDefault="003F65C4" w:rsidP="00AB38E3">
      <w:pPr>
        <w:pStyle w:val="ListParagraph"/>
        <w:numPr>
          <w:ilvl w:val="3"/>
          <w:numId w:val="3"/>
        </w:numPr>
        <w:tabs>
          <w:tab w:val="left" w:pos="-720"/>
        </w:tabs>
        <w:suppressAutoHyphens/>
        <w:jc w:val="both"/>
      </w:pPr>
      <w:r>
        <w:t>Second: Thach Winslow</w:t>
      </w:r>
    </w:p>
    <w:p w14:paraId="04EC6CD5" w14:textId="348F2C79" w:rsidR="003F65C4" w:rsidRDefault="003F65C4" w:rsidP="00AB38E3">
      <w:pPr>
        <w:pStyle w:val="ListParagraph"/>
        <w:numPr>
          <w:ilvl w:val="3"/>
          <w:numId w:val="3"/>
        </w:numPr>
        <w:tabs>
          <w:tab w:val="left" w:pos="-720"/>
        </w:tabs>
        <w:suppressAutoHyphens/>
        <w:jc w:val="both"/>
      </w:pPr>
      <w:r>
        <w:t>Action: Passed</w:t>
      </w:r>
    </w:p>
    <w:p w14:paraId="6FD8C0A6" w14:textId="74D14255" w:rsidR="008C2DC0" w:rsidRDefault="008C2DC0" w:rsidP="008C2DC0">
      <w:pPr>
        <w:pStyle w:val="ListParagraph"/>
        <w:numPr>
          <w:ilvl w:val="0"/>
          <w:numId w:val="3"/>
        </w:numPr>
        <w:tabs>
          <w:tab w:val="left" w:pos="-720"/>
        </w:tabs>
        <w:suppressAutoHyphens/>
        <w:jc w:val="both"/>
      </w:pPr>
      <w:r>
        <w:t>Announcements</w:t>
      </w:r>
    </w:p>
    <w:p w14:paraId="38E0596A" w14:textId="6BB96DBD" w:rsidR="008C2DC0" w:rsidRDefault="008C2DC0" w:rsidP="008C2DC0">
      <w:pPr>
        <w:pStyle w:val="ListParagraph"/>
        <w:numPr>
          <w:ilvl w:val="1"/>
          <w:numId w:val="3"/>
        </w:numPr>
        <w:tabs>
          <w:tab w:val="left" w:pos="-720"/>
        </w:tabs>
        <w:suppressAutoHyphens/>
        <w:jc w:val="both"/>
      </w:pPr>
      <w:r>
        <w:t xml:space="preserve">Register for attendance </w:t>
      </w:r>
    </w:p>
    <w:p w14:paraId="235A08F2" w14:textId="588D3A8A" w:rsidR="008C2DC0" w:rsidRDefault="008C2DC0" w:rsidP="008C2DC0">
      <w:pPr>
        <w:pStyle w:val="ListParagraph"/>
        <w:numPr>
          <w:ilvl w:val="0"/>
          <w:numId w:val="3"/>
        </w:numPr>
        <w:tabs>
          <w:tab w:val="left" w:pos="-720"/>
        </w:tabs>
        <w:suppressAutoHyphens/>
        <w:jc w:val="both"/>
      </w:pPr>
      <w:r>
        <w:t>Motion to Adjourn</w:t>
      </w:r>
    </w:p>
    <w:p w14:paraId="01EDADD2" w14:textId="4E41EA56" w:rsidR="008C2DC0" w:rsidRDefault="008C2DC0" w:rsidP="008C2DC0">
      <w:pPr>
        <w:pStyle w:val="ListParagraph"/>
        <w:numPr>
          <w:ilvl w:val="1"/>
          <w:numId w:val="3"/>
        </w:numPr>
        <w:tabs>
          <w:tab w:val="left" w:pos="-720"/>
        </w:tabs>
        <w:suppressAutoHyphens/>
        <w:jc w:val="both"/>
      </w:pPr>
      <w:r>
        <w:t>Motion:</w:t>
      </w:r>
      <w:r w:rsidR="003F65C4">
        <w:t xml:space="preserve"> Steve Velasco</w:t>
      </w:r>
    </w:p>
    <w:p w14:paraId="74B844D3" w14:textId="7260445E" w:rsidR="008C2DC0" w:rsidRDefault="008C2DC0" w:rsidP="008C2DC0">
      <w:pPr>
        <w:pStyle w:val="ListParagraph"/>
        <w:numPr>
          <w:ilvl w:val="1"/>
          <w:numId w:val="3"/>
        </w:numPr>
        <w:tabs>
          <w:tab w:val="left" w:pos="-720"/>
        </w:tabs>
        <w:suppressAutoHyphens/>
        <w:jc w:val="both"/>
      </w:pPr>
      <w:r>
        <w:t>Second:</w:t>
      </w:r>
      <w:r w:rsidR="003F65C4">
        <w:t xml:space="preserve"> Diane Kitchen</w:t>
      </w:r>
    </w:p>
    <w:p w14:paraId="76C11DF3" w14:textId="19A7DE20" w:rsidR="008C2DC0" w:rsidRDefault="003F65C4" w:rsidP="008C2DC0">
      <w:pPr>
        <w:pStyle w:val="ListParagraph"/>
        <w:numPr>
          <w:ilvl w:val="1"/>
          <w:numId w:val="3"/>
        </w:numPr>
        <w:tabs>
          <w:tab w:val="left" w:pos="-720"/>
        </w:tabs>
        <w:suppressAutoHyphens/>
        <w:jc w:val="both"/>
      </w:pPr>
      <w:r>
        <w:t>Action: Passed</w:t>
      </w:r>
    </w:p>
    <w:p w14:paraId="70E38CD9" w14:textId="2797922E" w:rsidR="008C2DC0" w:rsidRDefault="008C2DC0" w:rsidP="008C2DC0">
      <w:pPr>
        <w:pStyle w:val="ListParagraph"/>
        <w:numPr>
          <w:ilvl w:val="0"/>
          <w:numId w:val="3"/>
        </w:numPr>
        <w:tabs>
          <w:tab w:val="left" w:pos="-720"/>
        </w:tabs>
        <w:suppressAutoHyphens/>
        <w:jc w:val="both"/>
      </w:pPr>
      <w:r>
        <w:t xml:space="preserve">Meeting adjourned at </w:t>
      </w:r>
      <w:r w:rsidR="003F65C4">
        <w:t>5:29</w:t>
      </w:r>
      <w:r>
        <w:t xml:space="preserve"> PM</w:t>
      </w:r>
    </w:p>
    <w:p w14:paraId="1A4C399E" w14:textId="77777777" w:rsidR="00C06F26" w:rsidRDefault="00C06F26" w:rsidP="00C06F26">
      <w:pPr>
        <w:rPr>
          <w:b/>
          <w:bCs/>
        </w:rPr>
      </w:pPr>
    </w:p>
    <w:p w14:paraId="52877AAA" w14:textId="77777777" w:rsidR="008C2DC0" w:rsidRDefault="008C2DC0" w:rsidP="00C06F26"/>
    <w:p w14:paraId="4BC00F6E" w14:textId="77777777" w:rsidR="00520B5D" w:rsidRPr="003F65C4" w:rsidRDefault="00520B5D" w:rsidP="00520B5D">
      <w:pPr>
        <w:rPr>
          <w:b/>
          <w:bCs/>
        </w:rPr>
      </w:pPr>
      <w:r w:rsidRPr="003F65C4">
        <w:rPr>
          <w:b/>
          <w:bCs/>
        </w:rPr>
        <w:t xml:space="preserve">USAHA Subcommittee on </w:t>
      </w:r>
      <w:proofErr w:type="spellStart"/>
      <w:r w:rsidRPr="003F65C4">
        <w:rPr>
          <w:b/>
          <w:bCs/>
        </w:rPr>
        <w:t>Theileria</w:t>
      </w:r>
      <w:proofErr w:type="spellEnd"/>
    </w:p>
    <w:p w14:paraId="221CCC8C" w14:textId="77777777" w:rsidR="00520B5D" w:rsidRPr="00520B5D" w:rsidRDefault="00520B5D" w:rsidP="00520B5D">
      <w:r w:rsidRPr="00520B5D">
        <w:t>Chair: Beth S Thompson, JD, DVM</w:t>
      </w:r>
    </w:p>
    <w:p w14:paraId="45DFEBAE" w14:textId="77777777" w:rsidR="00520B5D" w:rsidRPr="00520B5D" w:rsidRDefault="00520B5D" w:rsidP="00520B5D">
      <w:r w:rsidRPr="00520B5D">
        <w:t>Vice Chair: Sara McReynolds, DVM, MPH, PhD</w:t>
      </w:r>
    </w:p>
    <w:p w14:paraId="3A613D5D" w14:textId="77777777" w:rsidR="00520B5D" w:rsidRPr="00520B5D" w:rsidRDefault="00520B5D" w:rsidP="00520B5D"/>
    <w:p w14:paraId="3F7BF9BE" w14:textId="77777777" w:rsidR="00520B5D" w:rsidRPr="00520B5D" w:rsidRDefault="00520B5D" w:rsidP="00520B5D">
      <w:r w:rsidRPr="00520B5D">
        <w:t xml:space="preserve">Chris Ashworth, Sarah Bailey, Maggie Baldwin, Reginaldo Bastos, Joy Bennett, Carolynn Bissett, Jenna Bjork, Tom Bragg, Charlie Broaddus, Katie Cornille, Bud Dinges, Roger Dudley, Cheryl Eia, Andreas Eleftheriou, Garrett Girk, Gail Golab, Rod Hall, Hallie Hasel, Janemarie Hennebelle, Julia Herman, Nicki Humphrey, Amber Itle, Nancy Jackson, Beth Johnson, Jeffrey Kaisand, Emily Kaleczyc, Diane Kitchen, </w:t>
      </w:r>
      <w:proofErr w:type="spellStart"/>
      <w:r w:rsidRPr="00520B5D">
        <w:t>Kavishti</w:t>
      </w:r>
      <w:proofErr w:type="spellEnd"/>
      <w:r w:rsidRPr="00520B5D">
        <w:t xml:space="preserve"> Kokaram, Darlene Konkle, Melanie Kunkel, Margo Kunz, T.R. Lansford, Elizabeth Lautner, Sabrina Lee, Scott Leibsle, </w:t>
      </w:r>
      <w:proofErr w:type="spellStart"/>
      <w:r w:rsidRPr="00520B5D">
        <w:t>Ailam</w:t>
      </w:r>
      <w:proofErr w:type="spellEnd"/>
      <w:r w:rsidRPr="00520B5D">
        <w:t xml:space="preserve"> Lim, Sasha Lisowski, Erin Luley, Antoinette Marsh, Morgan McCarty, Mike Neault, Cheryl Nelson, Elizabeth Parker, Amar Patil, E Sabo, Mo Salman, Dale Sandlin, Patty Scharko, Kyle Shipman, Marissa Silva, Kathy Simmons, Staci Slager, Madison Smalley, Justin Smith, Sarah Speth, Nathan Stone, Steve Strubberg, Dennis Summers, Tahnee Szymanski, Jesica Thompson, Jennifer Trout, Hannah Varnell, Teckla Webb, Alan Young</w:t>
      </w:r>
    </w:p>
    <w:p w14:paraId="1228C984" w14:textId="77777777" w:rsidR="00520B5D" w:rsidRPr="00520B5D" w:rsidRDefault="00520B5D" w:rsidP="00520B5D">
      <w:r w:rsidRPr="00520B5D">
        <w:t>The Subcommittee on Theileria met on Sunday October 18, 2026, from 8:00- 9:50 a.m. in the Community Terrace meeting room at the 130</w:t>
      </w:r>
      <w:r w:rsidRPr="00520B5D">
        <w:rPr>
          <w:vertAlign w:val="superscript"/>
        </w:rPr>
        <w:t>th</w:t>
      </w:r>
      <w:r w:rsidRPr="00520B5D">
        <w:t xml:space="preserve"> annual meeting of the United States Animal Health Association. </w:t>
      </w:r>
    </w:p>
    <w:p w14:paraId="41C7781D" w14:textId="77777777" w:rsidR="00520B5D" w:rsidRPr="00520B5D" w:rsidRDefault="00520B5D" w:rsidP="00520B5D">
      <w:r w:rsidRPr="00520B5D">
        <w:t>Dr. Beth Thompson and Dr. Sara McReynolds presided.</w:t>
      </w:r>
    </w:p>
    <w:p w14:paraId="1C57BBFE" w14:textId="77777777" w:rsidR="00520B5D" w:rsidRPr="00520B5D" w:rsidRDefault="00520B5D" w:rsidP="00520B5D">
      <w:r w:rsidRPr="00520B5D">
        <w:t xml:space="preserve">The meeting was called to order by Dr. Thompson at 8:00 a.m. It was determined there was a quorum present. Dr. Thompson and Dr. McReynolds introduced themselves, and there was a brief discussion of the purpose of the subcommittee and agenda. </w:t>
      </w:r>
    </w:p>
    <w:p w14:paraId="6CD3AF60" w14:textId="77777777" w:rsidR="00520B5D" w:rsidRPr="00520B5D" w:rsidRDefault="00520B5D" w:rsidP="00520B5D">
      <w:pPr>
        <w:rPr>
          <w:b/>
          <w:bCs/>
        </w:rPr>
      </w:pPr>
      <w:r w:rsidRPr="00520B5D">
        <w:rPr>
          <w:b/>
          <w:bCs/>
          <w:u w:val="single"/>
        </w:rPr>
        <w:t>Presentations and Reports</w:t>
      </w:r>
      <w:r w:rsidRPr="00520B5D">
        <w:rPr>
          <w:b/>
          <w:bCs/>
        </w:rPr>
        <w:t>:</w:t>
      </w:r>
    </w:p>
    <w:p w14:paraId="0FFBE73F" w14:textId="77777777" w:rsidR="00520B5D" w:rsidRPr="00520B5D" w:rsidRDefault="00520B5D" w:rsidP="00520B5D">
      <w:pPr>
        <w:rPr>
          <w:b/>
          <w:bCs/>
        </w:rPr>
      </w:pPr>
      <w:r w:rsidRPr="00520B5D">
        <w:rPr>
          <w:b/>
          <w:bCs/>
        </w:rPr>
        <w:t xml:space="preserve">Drug Treatments Against </w:t>
      </w:r>
      <w:r w:rsidRPr="00520B5D">
        <w:rPr>
          <w:b/>
          <w:bCs/>
          <w:i/>
          <w:iCs/>
        </w:rPr>
        <w:t>Theileria orientalis</w:t>
      </w:r>
      <w:r w:rsidRPr="00520B5D">
        <w:rPr>
          <w:b/>
          <w:bCs/>
        </w:rPr>
        <w:t xml:space="preserve"> genotype Ikeda</w:t>
      </w:r>
      <w:r w:rsidRPr="00520B5D">
        <w:rPr>
          <w:b/>
          <w:bCs/>
        </w:rPr>
        <w:tab/>
      </w:r>
    </w:p>
    <w:p w14:paraId="4DE3089E" w14:textId="77777777" w:rsidR="00520B5D" w:rsidRPr="00520B5D" w:rsidRDefault="00520B5D" w:rsidP="00520B5D">
      <w:pPr>
        <w:rPr>
          <w:b/>
          <w:bCs/>
        </w:rPr>
      </w:pPr>
      <w:r w:rsidRPr="00520B5D">
        <w:rPr>
          <w:b/>
          <w:bCs/>
        </w:rPr>
        <w:t>Dr. Reginald Bastos, USDA-ARS</w:t>
      </w:r>
    </w:p>
    <w:p w14:paraId="19CE8019" w14:textId="77777777" w:rsidR="00520B5D" w:rsidRPr="00520B5D" w:rsidRDefault="00520B5D" w:rsidP="00520B5D">
      <w:pPr>
        <w:rPr>
          <w:b/>
          <w:bCs/>
        </w:rPr>
      </w:pPr>
      <w:r w:rsidRPr="00520B5D">
        <w:t xml:space="preserve">There are differences in the pathogenesis of the disease and as there are differences between the different genotypes of </w:t>
      </w:r>
      <w:r w:rsidRPr="00520B5D">
        <w:rPr>
          <w:i/>
          <w:iCs/>
        </w:rPr>
        <w:t>Theileria orientalis</w:t>
      </w:r>
      <w:r w:rsidRPr="00520B5D">
        <w:t xml:space="preserve">.  Dr. Bastos explained that USDA-ARS has been exploring possible treatment options for </w:t>
      </w:r>
      <w:r w:rsidRPr="00520B5D">
        <w:rPr>
          <w:i/>
          <w:iCs/>
        </w:rPr>
        <w:t>Theileria orientalis</w:t>
      </w:r>
      <w:r w:rsidRPr="00520B5D">
        <w:t xml:space="preserve"> genotype Ikeda. Buparvaquone was shown to be a transient treatment, and no other treatments have been found to be effective. Research is ongoing</w:t>
      </w:r>
      <w:r w:rsidRPr="00520B5D">
        <w:rPr>
          <w:b/>
          <w:bCs/>
        </w:rPr>
        <w:t xml:space="preserve"> </w:t>
      </w:r>
      <w:r w:rsidRPr="00520B5D">
        <w:t xml:space="preserve">into this and other areas. </w:t>
      </w:r>
      <w:r w:rsidRPr="00520B5D">
        <w:rPr>
          <w:b/>
          <w:bCs/>
        </w:rPr>
        <w:t xml:space="preserve"> </w:t>
      </w:r>
    </w:p>
    <w:p w14:paraId="22150BBC" w14:textId="77777777" w:rsidR="00520B5D" w:rsidRPr="00520B5D" w:rsidRDefault="00520B5D" w:rsidP="00520B5D">
      <w:pPr>
        <w:rPr>
          <w:b/>
          <w:bCs/>
          <w:i/>
          <w:iCs/>
        </w:rPr>
      </w:pPr>
    </w:p>
    <w:p w14:paraId="1C6FFE2C" w14:textId="77777777" w:rsidR="00520B5D" w:rsidRPr="00520B5D" w:rsidRDefault="00520B5D" w:rsidP="00520B5D">
      <w:pPr>
        <w:rPr>
          <w:b/>
          <w:bCs/>
        </w:rPr>
      </w:pPr>
      <w:r w:rsidRPr="00520B5D">
        <w:rPr>
          <w:b/>
          <w:bCs/>
          <w:i/>
          <w:iCs/>
        </w:rPr>
        <w:t>Theileria orientalis</w:t>
      </w:r>
      <w:r w:rsidRPr="00520B5D">
        <w:rPr>
          <w:b/>
          <w:bCs/>
        </w:rPr>
        <w:t>: Virginia perspective and future plan</w:t>
      </w:r>
      <w:r w:rsidRPr="00520B5D">
        <w:rPr>
          <w:b/>
          <w:bCs/>
        </w:rPr>
        <w:tab/>
      </w:r>
      <w:r w:rsidRPr="00520B5D">
        <w:rPr>
          <w:b/>
          <w:bCs/>
        </w:rPr>
        <w:tab/>
      </w:r>
    </w:p>
    <w:p w14:paraId="0F768D6B" w14:textId="77777777" w:rsidR="00520B5D" w:rsidRPr="00520B5D" w:rsidRDefault="00520B5D" w:rsidP="00520B5D">
      <w:pPr>
        <w:rPr>
          <w:b/>
          <w:bCs/>
        </w:rPr>
      </w:pPr>
      <w:r w:rsidRPr="00520B5D">
        <w:rPr>
          <w:b/>
          <w:bCs/>
        </w:rPr>
        <w:t>Dr. Kevin Lahmers, Virginia Tech Animal Lab Services</w:t>
      </w:r>
    </w:p>
    <w:p w14:paraId="521BF486" w14:textId="77777777" w:rsidR="00520B5D" w:rsidRPr="00520B5D" w:rsidRDefault="00520B5D" w:rsidP="00520B5D">
      <w:r w:rsidRPr="00520B5D">
        <w:t xml:space="preserve">Dr. Lahmers presented an update on the initial focus of surveillance to determine prevalence of Theileria orientalis in Virginia and surrounding states to now examining the long-term production impacts and epidemiology. This focus has demonstrated that subclinical </w:t>
      </w:r>
      <w:r w:rsidRPr="00520B5D">
        <w:rPr>
          <w:i/>
          <w:iCs/>
        </w:rPr>
        <w:t>Theileria</w:t>
      </w:r>
      <w:r w:rsidRPr="00520B5D">
        <w:t xml:space="preserve"> infections do not negatively impact growth performance or breeding soundness exam scores in developing young beef bulls. Dr. Lahmers emphasizes that while the disease has rapidly expanded from a localized finding in 2017 to a widespread challenge across at least 14 states, many herds quickly </w:t>
      </w:r>
      <w:r w:rsidRPr="00520B5D">
        <w:lastRenderedPageBreak/>
        <w:t>transition to over 90% positive carrier status without displaying overt clinical signs. However, more surveillance data is needed to continue to learn about the disease.</w:t>
      </w:r>
    </w:p>
    <w:p w14:paraId="15808A6E" w14:textId="6802EC85" w:rsidR="00520B5D" w:rsidRPr="00520B5D" w:rsidRDefault="00520B5D" w:rsidP="00520B5D">
      <w:pPr>
        <w:rPr>
          <w:b/>
          <w:bCs/>
        </w:rPr>
      </w:pPr>
      <w:r w:rsidRPr="00520B5D">
        <w:rPr>
          <w:b/>
          <w:bCs/>
        </w:rPr>
        <w:t>Development of Vaccines for Parasites: Theileria</w:t>
      </w:r>
      <w:r w:rsidRPr="00520B5D">
        <w:rPr>
          <w:b/>
          <w:bCs/>
        </w:rPr>
        <w:tab/>
      </w:r>
      <w:r w:rsidRPr="00520B5D">
        <w:rPr>
          <w:b/>
          <w:bCs/>
        </w:rPr>
        <w:tab/>
      </w:r>
      <w:r w:rsidRPr="00520B5D">
        <w:rPr>
          <w:b/>
          <w:bCs/>
        </w:rPr>
        <w:tab/>
      </w:r>
      <w:r w:rsidRPr="00520B5D">
        <w:rPr>
          <w:b/>
          <w:bCs/>
        </w:rPr>
        <w:tab/>
      </w:r>
      <w:r w:rsidRPr="00520B5D">
        <w:rPr>
          <w:b/>
          <w:bCs/>
        </w:rPr>
        <w:tab/>
      </w:r>
      <w:r w:rsidRPr="00520B5D">
        <w:rPr>
          <w:b/>
          <w:bCs/>
        </w:rPr>
        <w:tab/>
      </w:r>
    </w:p>
    <w:p w14:paraId="7F4B57F4" w14:textId="77777777" w:rsidR="00520B5D" w:rsidRPr="00520B5D" w:rsidRDefault="00520B5D" w:rsidP="00520B5D">
      <w:pPr>
        <w:rPr>
          <w:b/>
          <w:bCs/>
        </w:rPr>
      </w:pPr>
      <w:r w:rsidRPr="00520B5D">
        <w:rPr>
          <w:b/>
          <w:bCs/>
        </w:rPr>
        <w:t>Dr. Alan Young, MedGene</w:t>
      </w:r>
    </w:p>
    <w:p w14:paraId="087A1C1D" w14:textId="77777777" w:rsidR="00520B5D" w:rsidRPr="00520B5D" w:rsidRDefault="00520B5D" w:rsidP="00520B5D">
      <w:r w:rsidRPr="00520B5D">
        <w:t xml:space="preserve">Dr. Young described the MedGene vaccine platform, the USDA platform technology guidelines, and more specifically, the prescription vaccine platform targeting the </w:t>
      </w:r>
      <w:r w:rsidRPr="00520B5D">
        <w:rPr>
          <w:i/>
          <w:iCs/>
        </w:rPr>
        <w:t>Theileria</w:t>
      </w:r>
      <w:r w:rsidRPr="00520B5D">
        <w:t xml:space="preserve"> antigen. The vaccine was released the end of July 2026 and it is too early for field observations aside from safety. The targeted responses are reduced infection and clinical signs from both the tick-derived and mechanical vector infection routes. </w:t>
      </w:r>
    </w:p>
    <w:p w14:paraId="4F952A60" w14:textId="77777777" w:rsidR="00520B5D" w:rsidRPr="00520B5D" w:rsidRDefault="00520B5D" w:rsidP="00520B5D">
      <w:pPr>
        <w:rPr>
          <w:b/>
          <w:bCs/>
        </w:rPr>
      </w:pPr>
      <w:r w:rsidRPr="00520B5D">
        <w:rPr>
          <w:b/>
          <w:bCs/>
        </w:rPr>
        <w:t>PA Bull Performance Testing Program report</w:t>
      </w:r>
      <w:r w:rsidRPr="00520B5D">
        <w:rPr>
          <w:b/>
          <w:bCs/>
        </w:rPr>
        <w:tab/>
      </w:r>
      <w:r w:rsidRPr="00520B5D">
        <w:rPr>
          <w:b/>
          <w:bCs/>
        </w:rPr>
        <w:tab/>
      </w:r>
      <w:r w:rsidRPr="00520B5D">
        <w:rPr>
          <w:b/>
          <w:bCs/>
        </w:rPr>
        <w:tab/>
      </w:r>
      <w:r w:rsidRPr="00520B5D">
        <w:rPr>
          <w:b/>
          <w:bCs/>
        </w:rPr>
        <w:tab/>
      </w:r>
    </w:p>
    <w:p w14:paraId="2887744D" w14:textId="77777777" w:rsidR="00520B5D" w:rsidRPr="00520B5D" w:rsidRDefault="00520B5D" w:rsidP="00520B5D">
      <w:pPr>
        <w:rPr>
          <w:b/>
          <w:bCs/>
        </w:rPr>
      </w:pPr>
      <w:r w:rsidRPr="00520B5D">
        <w:rPr>
          <w:b/>
          <w:bCs/>
        </w:rPr>
        <w:t>Dr. Erin Luley, PA Dept of Agriculture</w:t>
      </w:r>
    </w:p>
    <w:p w14:paraId="6F857620" w14:textId="77777777" w:rsidR="00520B5D" w:rsidRPr="00520B5D" w:rsidRDefault="00520B5D" w:rsidP="00520B5D">
      <w:r w:rsidRPr="00520B5D">
        <w:t xml:space="preserve">Pennsylvania started a bull performance study as a partnership with multiple agencies; Dr. Luley described on part of the study. Over 170 bulls were enrolled in the program. One percent tested positive for </w:t>
      </w:r>
      <w:r w:rsidRPr="00520B5D">
        <w:rPr>
          <w:i/>
          <w:iCs/>
        </w:rPr>
        <w:t>Theileria orientalis</w:t>
      </w:r>
      <w:r w:rsidRPr="00520B5D">
        <w:t xml:space="preserve"> genotype Ikeda upon arrival to the program.  The bulls were at the facility for 6 months and no additional bulls tested positive at the end of the program.  There was no significant difference between the positive and negative bulls in the categories analyzed, which included growth performance and the sale price of the bulls. Education of producers continues to be an important component for PA Extension. </w:t>
      </w:r>
    </w:p>
    <w:p w14:paraId="6E11A6C1" w14:textId="77777777" w:rsidR="00520B5D" w:rsidRPr="00520B5D" w:rsidRDefault="00520B5D" w:rsidP="00520B5D">
      <w:pPr>
        <w:rPr>
          <w:b/>
          <w:bCs/>
        </w:rPr>
      </w:pPr>
      <w:r w:rsidRPr="00520B5D">
        <w:rPr>
          <w:b/>
          <w:bCs/>
        </w:rPr>
        <w:t xml:space="preserve">State reports: </w:t>
      </w:r>
    </w:p>
    <w:p w14:paraId="36372124" w14:textId="77777777" w:rsidR="00520B5D" w:rsidRPr="00520B5D" w:rsidRDefault="00520B5D" w:rsidP="00520B5D">
      <w:pPr>
        <w:rPr>
          <w:b/>
          <w:bCs/>
        </w:rPr>
      </w:pPr>
      <w:r w:rsidRPr="00520B5D">
        <w:rPr>
          <w:b/>
          <w:bCs/>
        </w:rPr>
        <w:t>Virginia, Dr. Charlie Broaddus –</w:t>
      </w:r>
      <w:r w:rsidRPr="00520B5D">
        <w:t xml:space="preserve"> After discovery of the tick, detection of Theileria was made in Virginia in 2017.  The disease is now endemic and not reportable. Herd health stabilizes after introduction and establishment of the disease in the herd. </w:t>
      </w:r>
    </w:p>
    <w:p w14:paraId="7BFF329F" w14:textId="77777777" w:rsidR="00520B5D" w:rsidRPr="00520B5D" w:rsidRDefault="00520B5D" w:rsidP="00520B5D">
      <w:pPr>
        <w:rPr>
          <w:b/>
          <w:bCs/>
        </w:rPr>
      </w:pPr>
      <w:r w:rsidRPr="00520B5D">
        <w:rPr>
          <w:b/>
          <w:bCs/>
        </w:rPr>
        <w:t xml:space="preserve">Kansas, Dr. Justin Smith – </w:t>
      </w:r>
      <w:r w:rsidRPr="00520B5D">
        <w:t>Theileriosis is a reportable disease in Kansas. Cases are seen in feeder calves and some Kansas origin herds. Stress related illness without anemia is reported in feeder calves.</w:t>
      </w:r>
    </w:p>
    <w:p w14:paraId="08460815" w14:textId="77777777" w:rsidR="00520B5D" w:rsidRPr="00520B5D" w:rsidRDefault="00520B5D" w:rsidP="00520B5D">
      <w:pPr>
        <w:rPr>
          <w:b/>
          <w:bCs/>
        </w:rPr>
      </w:pPr>
      <w:r w:rsidRPr="00520B5D">
        <w:rPr>
          <w:b/>
          <w:bCs/>
        </w:rPr>
        <w:t xml:space="preserve">Missouri, Dr. Steve Strubberg – </w:t>
      </w:r>
      <w:r w:rsidRPr="00520B5D">
        <w:t>Dr. Strubberg reported that the first detection in Missouri was in 2023. In 2024, there were 4 counties with detections, followed by 22 counties in 2025 with detections and in 2026, a total of 59 counties with detections. There are now 89 counties with positive detections.</w:t>
      </w:r>
    </w:p>
    <w:p w14:paraId="01B0CD19" w14:textId="77777777" w:rsidR="00520B5D" w:rsidRPr="00520B5D" w:rsidRDefault="00520B5D" w:rsidP="00520B5D">
      <w:pPr>
        <w:rPr>
          <w:b/>
          <w:bCs/>
          <w:u w:val="single"/>
        </w:rPr>
      </w:pPr>
      <w:r w:rsidRPr="00520B5D">
        <w:rPr>
          <w:b/>
          <w:bCs/>
          <w:u w:val="single"/>
        </w:rPr>
        <w:t>New Business:</w:t>
      </w:r>
    </w:p>
    <w:p w14:paraId="76B8E5C9" w14:textId="77777777" w:rsidR="00520B5D" w:rsidRPr="00520B5D" w:rsidRDefault="00520B5D" w:rsidP="00520B5D">
      <w:r w:rsidRPr="00520B5D">
        <w:t xml:space="preserve">The purpose statement for the subcommittee was presented and discussed. </w:t>
      </w:r>
    </w:p>
    <w:p w14:paraId="2E544895" w14:textId="77777777" w:rsidR="00520B5D" w:rsidRPr="00520B5D" w:rsidRDefault="00520B5D" w:rsidP="00520B5D">
      <w:r w:rsidRPr="00520B5D">
        <w:t>A motion and a second was made to pass the resolution entitled “</w:t>
      </w:r>
      <w:r w:rsidRPr="00520B5D">
        <w:rPr>
          <w:b/>
          <w:bCs/>
        </w:rPr>
        <w:t xml:space="preserve">Strengthening Research, Education, and Extension Capacity to Address the Emerging </w:t>
      </w:r>
      <w:r w:rsidRPr="00520B5D">
        <w:rPr>
          <w:b/>
          <w:bCs/>
          <w:i/>
          <w:iCs/>
        </w:rPr>
        <w:t>Theileria orientalis</w:t>
      </w:r>
      <w:r w:rsidRPr="00520B5D">
        <w:rPr>
          <w:b/>
          <w:bCs/>
        </w:rPr>
        <w:t xml:space="preserve"> Threat in the U.S. Cattle Industry.” </w:t>
      </w:r>
      <w:r w:rsidRPr="00520B5D">
        <w:t xml:space="preserve">After discussion, the motion passed. The motion will continue to the parent committee, Parasitic and Vector Borne Diseases. </w:t>
      </w:r>
    </w:p>
    <w:p w14:paraId="72715092" w14:textId="77777777" w:rsidR="00520B5D" w:rsidRPr="00520B5D" w:rsidRDefault="00520B5D" w:rsidP="00520B5D">
      <w:r w:rsidRPr="00520B5D">
        <w:t xml:space="preserve">A motion and second was made for adjournment. The meeting adjourned at 9:47 am. </w:t>
      </w:r>
    </w:p>
    <w:p w14:paraId="34A9A373" w14:textId="77777777" w:rsidR="00520B5D" w:rsidRDefault="00520B5D" w:rsidP="00A3553A"/>
    <w:sectPr w:rsidR="00520B5D" w:rsidSect="009A10CD">
      <w:pgSz w:w="12240" w:h="15840" w:code="1"/>
      <w:pgMar w:top="720" w:right="72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8406AA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49C742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8AADAE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D0418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CA4AD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1EE807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28A892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7833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E9C31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F243A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3A6776"/>
    <w:multiLevelType w:val="hybridMultilevel"/>
    <w:tmpl w:val="90A46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5885A05"/>
    <w:multiLevelType w:val="hybridMultilevel"/>
    <w:tmpl w:val="EDA67B34"/>
    <w:lvl w:ilvl="0" w:tplc="DEA04FA6">
      <w:start w:val="1"/>
      <w:numFmt w:val="bullet"/>
      <w:pStyle w:val="ProcBullets"/>
      <w:lvlText w:val=""/>
      <w:lvlJc w:val="left"/>
      <w:pPr>
        <w:ind w:left="420" w:hanging="360"/>
      </w:pPr>
      <w:rPr>
        <w:rFonts w:ascii="Symbol" w:hAnsi="Symbo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2" w15:restartNumberingAfterBreak="0">
    <w:nsid w:val="3BE153CC"/>
    <w:multiLevelType w:val="multilevel"/>
    <w:tmpl w:val="77E62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6B65267"/>
    <w:multiLevelType w:val="hybridMultilevel"/>
    <w:tmpl w:val="3FB2FB9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3423AC"/>
    <w:multiLevelType w:val="hybridMultilevel"/>
    <w:tmpl w:val="43626186"/>
    <w:lvl w:ilvl="0" w:tplc="BBA2ABA8">
      <w:start w:val="1"/>
      <w:numFmt w:val="upperLetter"/>
      <w:lvlText w:val="%1)"/>
      <w:lvlJc w:val="left"/>
      <w:pPr>
        <w:ind w:left="720" w:hanging="360"/>
      </w:pPr>
      <w:rPr>
        <w:rFonts w:ascii="Univers" w:eastAsia="Times New Roman" w:hAnsi="Univer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AF34EA"/>
    <w:multiLevelType w:val="multilevel"/>
    <w:tmpl w:val="77E62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3417106">
    <w:abstractNumId w:val="11"/>
  </w:num>
  <w:num w:numId="2" w16cid:durableId="1786148178">
    <w:abstractNumId w:val="11"/>
  </w:num>
  <w:num w:numId="3" w16cid:durableId="1034578360">
    <w:abstractNumId w:val="13"/>
  </w:num>
  <w:num w:numId="4" w16cid:durableId="1449860768">
    <w:abstractNumId w:val="10"/>
  </w:num>
  <w:num w:numId="5" w16cid:durableId="1076129450">
    <w:abstractNumId w:val="14"/>
  </w:num>
  <w:num w:numId="6" w16cid:durableId="131870883">
    <w:abstractNumId w:val="9"/>
  </w:num>
  <w:num w:numId="7" w16cid:durableId="1326859018">
    <w:abstractNumId w:val="7"/>
  </w:num>
  <w:num w:numId="8" w16cid:durableId="347145480">
    <w:abstractNumId w:val="6"/>
  </w:num>
  <w:num w:numId="9" w16cid:durableId="1467821229">
    <w:abstractNumId w:val="5"/>
  </w:num>
  <w:num w:numId="10" w16cid:durableId="639925189">
    <w:abstractNumId w:val="4"/>
  </w:num>
  <w:num w:numId="11" w16cid:durableId="1992098215">
    <w:abstractNumId w:val="8"/>
  </w:num>
  <w:num w:numId="12" w16cid:durableId="1480614077">
    <w:abstractNumId w:val="3"/>
  </w:num>
  <w:num w:numId="13" w16cid:durableId="448011730">
    <w:abstractNumId w:val="2"/>
  </w:num>
  <w:num w:numId="14" w16cid:durableId="1044132800">
    <w:abstractNumId w:val="1"/>
  </w:num>
  <w:num w:numId="15" w16cid:durableId="207957060">
    <w:abstractNumId w:val="0"/>
  </w:num>
  <w:num w:numId="16" w16cid:durableId="561403306">
    <w:abstractNumId w:val="15"/>
  </w:num>
  <w:num w:numId="17" w16cid:durableId="14530148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A07"/>
    <w:rsid w:val="0004484A"/>
    <w:rsid w:val="00072A07"/>
    <w:rsid w:val="00085418"/>
    <w:rsid w:val="00110D25"/>
    <w:rsid w:val="0016301A"/>
    <w:rsid w:val="001E313B"/>
    <w:rsid w:val="002647A2"/>
    <w:rsid w:val="00340797"/>
    <w:rsid w:val="00346135"/>
    <w:rsid w:val="00396378"/>
    <w:rsid w:val="003F65C4"/>
    <w:rsid w:val="0042171A"/>
    <w:rsid w:val="004263D1"/>
    <w:rsid w:val="00516870"/>
    <w:rsid w:val="00516BEB"/>
    <w:rsid w:val="00520B5D"/>
    <w:rsid w:val="005324C1"/>
    <w:rsid w:val="00655965"/>
    <w:rsid w:val="006C4E8B"/>
    <w:rsid w:val="007A30E0"/>
    <w:rsid w:val="007A32D9"/>
    <w:rsid w:val="008356A6"/>
    <w:rsid w:val="008C2DC0"/>
    <w:rsid w:val="008C3A61"/>
    <w:rsid w:val="008F10E0"/>
    <w:rsid w:val="008F4945"/>
    <w:rsid w:val="00917B4C"/>
    <w:rsid w:val="00945CED"/>
    <w:rsid w:val="0095554B"/>
    <w:rsid w:val="0099068B"/>
    <w:rsid w:val="009A10CD"/>
    <w:rsid w:val="009C6283"/>
    <w:rsid w:val="00A3553A"/>
    <w:rsid w:val="00A97BCD"/>
    <w:rsid w:val="00AB38E3"/>
    <w:rsid w:val="00AB4214"/>
    <w:rsid w:val="00C06F26"/>
    <w:rsid w:val="00C73C18"/>
    <w:rsid w:val="00CB5103"/>
    <w:rsid w:val="00CC4CD9"/>
    <w:rsid w:val="00CC7693"/>
    <w:rsid w:val="00CE6FFA"/>
    <w:rsid w:val="00CF5682"/>
    <w:rsid w:val="00DB76FE"/>
    <w:rsid w:val="00E87714"/>
    <w:rsid w:val="00F0712A"/>
    <w:rsid w:val="00F53073"/>
    <w:rsid w:val="00F541C9"/>
    <w:rsid w:val="00F768F4"/>
    <w:rsid w:val="00FE1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845F8"/>
  <w15:chartTrackingRefBased/>
  <w15:docId w15:val="{56AE96B0-7297-42EC-AD53-1F98CD1F3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F26"/>
  </w:style>
  <w:style w:type="paragraph" w:styleId="Heading1">
    <w:name w:val="heading 1"/>
    <w:aliases w:val="Proc Heading"/>
    <w:basedOn w:val="Normal"/>
    <w:link w:val="Heading1Char"/>
    <w:qFormat/>
    <w:rsid w:val="0099068B"/>
    <w:pPr>
      <w:jc w:val="center"/>
      <w:outlineLvl w:val="0"/>
    </w:pPr>
    <w:rPr>
      <w:rFonts w:eastAsiaTheme="majorEastAsia" w:cstheme="majorBidi"/>
      <w:b/>
      <w:caps/>
    </w:rPr>
  </w:style>
  <w:style w:type="paragraph" w:styleId="Heading2">
    <w:name w:val="heading 2"/>
    <w:basedOn w:val="Normal"/>
    <w:link w:val="Heading2Char"/>
    <w:uiPriority w:val="9"/>
    <w:rsid w:val="0099068B"/>
    <w:pPr>
      <w:shd w:val="clear" w:color="auto" w:fill="FFFFFF"/>
      <w:spacing w:before="100" w:beforeAutospacing="1" w:after="100" w:afterAutospacing="1"/>
      <w:outlineLvl w:val="1"/>
    </w:pPr>
    <w:rPr>
      <w:rFonts w:eastAsia="Times New Roman"/>
      <w:b/>
      <w:bCs/>
      <w:color w:val="FF4500"/>
      <w:sz w:val="17"/>
      <w:szCs w:val="17"/>
    </w:rPr>
  </w:style>
  <w:style w:type="paragraph" w:styleId="Heading3">
    <w:name w:val="heading 3"/>
    <w:basedOn w:val="Normal"/>
    <w:next w:val="Normal"/>
    <w:link w:val="Heading3Char"/>
    <w:semiHidden/>
    <w:unhideWhenUsed/>
    <w:qFormat/>
    <w:rsid w:val="0099068B"/>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semiHidden/>
    <w:unhideWhenUsed/>
    <w:qFormat/>
    <w:rsid w:val="0099068B"/>
    <w:pPr>
      <w:keepNext/>
      <w:spacing w:before="240" w:after="60"/>
      <w:outlineLvl w:val="3"/>
    </w:pPr>
    <w:rPr>
      <w:rFonts w:eastAsia="Times New Roman"/>
      <w:b/>
      <w:bCs/>
      <w:sz w:val="28"/>
      <w:szCs w:val="28"/>
    </w:rPr>
  </w:style>
  <w:style w:type="paragraph" w:styleId="Heading5">
    <w:name w:val="heading 5"/>
    <w:basedOn w:val="Normal"/>
    <w:next w:val="Normal"/>
    <w:link w:val="Heading5Char"/>
    <w:semiHidden/>
    <w:unhideWhenUsed/>
    <w:qFormat/>
    <w:rsid w:val="0099068B"/>
    <w:pPr>
      <w:spacing w:before="240" w:after="60"/>
      <w:outlineLvl w:val="4"/>
    </w:pPr>
    <w:rPr>
      <w:rFonts w:eastAsia="Times New Roman"/>
      <w:b/>
      <w:bCs/>
      <w:i/>
      <w:iCs/>
      <w:sz w:val="26"/>
      <w:szCs w:val="26"/>
    </w:rPr>
  </w:style>
  <w:style w:type="paragraph" w:styleId="Heading6">
    <w:name w:val="heading 6"/>
    <w:basedOn w:val="Normal"/>
    <w:next w:val="Normal"/>
    <w:link w:val="Heading6Char"/>
    <w:semiHidden/>
    <w:unhideWhenUsed/>
    <w:qFormat/>
    <w:rsid w:val="0099068B"/>
    <w:pPr>
      <w:spacing w:before="240" w:after="60"/>
      <w:outlineLvl w:val="5"/>
    </w:pPr>
    <w:rPr>
      <w:rFonts w:eastAsia="Times New Roman"/>
      <w:b/>
      <w:bCs/>
      <w:sz w:val="22"/>
      <w:szCs w:val="22"/>
    </w:rPr>
  </w:style>
  <w:style w:type="paragraph" w:styleId="Heading7">
    <w:name w:val="heading 7"/>
    <w:basedOn w:val="Normal"/>
    <w:next w:val="Normal"/>
    <w:link w:val="Heading7Char"/>
    <w:semiHidden/>
    <w:unhideWhenUsed/>
    <w:qFormat/>
    <w:rsid w:val="0099068B"/>
    <w:pPr>
      <w:spacing w:before="240" w:after="60"/>
      <w:outlineLvl w:val="6"/>
    </w:pPr>
    <w:rPr>
      <w:rFonts w:eastAsia="Times New Roman"/>
      <w:sz w:val="24"/>
    </w:rPr>
  </w:style>
  <w:style w:type="paragraph" w:styleId="Heading8">
    <w:name w:val="heading 8"/>
    <w:basedOn w:val="Normal"/>
    <w:next w:val="Normal"/>
    <w:link w:val="Heading8Char"/>
    <w:semiHidden/>
    <w:unhideWhenUsed/>
    <w:qFormat/>
    <w:rsid w:val="0099068B"/>
    <w:pPr>
      <w:spacing w:before="240" w:after="60"/>
      <w:outlineLvl w:val="7"/>
    </w:pPr>
    <w:rPr>
      <w:rFonts w:eastAsia="Times New Roman"/>
      <w:i/>
      <w:iCs/>
      <w:sz w:val="24"/>
    </w:rPr>
  </w:style>
  <w:style w:type="paragraph" w:styleId="Heading9">
    <w:name w:val="heading 9"/>
    <w:basedOn w:val="Normal"/>
    <w:next w:val="Normal"/>
    <w:link w:val="Heading9Char"/>
    <w:semiHidden/>
    <w:unhideWhenUsed/>
    <w:qFormat/>
    <w:rsid w:val="0099068B"/>
    <w:pPr>
      <w:spacing w:before="240" w:after="60"/>
      <w:outlineLvl w:val="8"/>
    </w:pPr>
    <w:rPr>
      <w:rFonts w:ascii="Cambria" w:eastAsia="Times New Roman" w:hAnsi="Cambria"/>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cBody">
    <w:name w:val="Proc Body"/>
    <w:basedOn w:val="Normal"/>
    <w:link w:val="ProcBodyChar"/>
    <w:qFormat/>
    <w:rsid w:val="0099068B"/>
    <w:pPr>
      <w:ind w:firstLine="360"/>
    </w:pPr>
    <w:rPr>
      <w:rFonts w:eastAsia="Times New Roman"/>
    </w:rPr>
  </w:style>
  <w:style w:type="character" w:customStyle="1" w:styleId="ProcBodyChar">
    <w:name w:val="Proc Body Char"/>
    <w:link w:val="ProcBody"/>
    <w:rsid w:val="0099068B"/>
    <w:rPr>
      <w:rFonts w:ascii="Arial" w:eastAsia="Times New Roman" w:hAnsi="Arial" w:cs="Times New Roman"/>
      <w:sz w:val="20"/>
      <w:szCs w:val="20"/>
    </w:rPr>
  </w:style>
  <w:style w:type="paragraph" w:customStyle="1" w:styleId="ProcBodyHeading">
    <w:name w:val="Proc Body Heading"/>
    <w:basedOn w:val="ProcBody"/>
    <w:link w:val="ProcBodyHeadingChar"/>
    <w:qFormat/>
    <w:rsid w:val="0099068B"/>
    <w:pPr>
      <w:ind w:firstLine="0"/>
    </w:pPr>
    <w:rPr>
      <w:b/>
    </w:rPr>
  </w:style>
  <w:style w:type="character" w:customStyle="1" w:styleId="ProcBodyHeadingChar">
    <w:name w:val="Proc Body Heading Char"/>
    <w:link w:val="ProcBodyHeading"/>
    <w:rsid w:val="0099068B"/>
    <w:rPr>
      <w:rFonts w:ascii="Arial" w:eastAsia="Times New Roman" w:hAnsi="Arial" w:cs="Times New Roman"/>
      <w:b/>
      <w:sz w:val="20"/>
      <w:szCs w:val="20"/>
    </w:rPr>
  </w:style>
  <w:style w:type="paragraph" w:customStyle="1" w:styleId="ProcBullets">
    <w:name w:val="Proc Bullets"/>
    <w:basedOn w:val="Normal"/>
    <w:qFormat/>
    <w:rsid w:val="0099068B"/>
    <w:pPr>
      <w:numPr>
        <w:numId w:val="2"/>
      </w:numPr>
      <w:jc w:val="both"/>
    </w:pPr>
    <w:rPr>
      <w:rFonts w:eastAsia="Times New Roman" w:cs="Arial"/>
      <w:bCs/>
    </w:rPr>
  </w:style>
  <w:style w:type="paragraph" w:customStyle="1" w:styleId="ProcSubHeading">
    <w:name w:val="Proc Sub Heading"/>
    <w:basedOn w:val="Normal"/>
    <w:link w:val="ProcSubHeadingChar"/>
    <w:qFormat/>
    <w:rsid w:val="0099068B"/>
    <w:pPr>
      <w:autoSpaceDE w:val="0"/>
      <w:autoSpaceDN w:val="0"/>
      <w:adjustRightInd w:val="0"/>
      <w:jc w:val="center"/>
    </w:pPr>
    <w:rPr>
      <w:rFonts w:eastAsia="Times New Roman"/>
      <w:szCs w:val="32"/>
    </w:rPr>
  </w:style>
  <w:style w:type="character" w:customStyle="1" w:styleId="ProcSubHeadingChar">
    <w:name w:val="Proc Sub Heading Char"/>
    <w:link w:val="ProcSubHeading"/>
    <w:rsid w:val="0099068B"/>
    <w:rPr>
      <w:rFonts w:ascii="Arial" w:eastAsia="Times New Roman" w:hAnsi="Arial" w:cs="Times New Roman"/>
      <w:sz w:val="20"/>
      <w:szCs w:val="32"/>
    </w:rPr>
  </w:style>
  <w:style w:type="paragraph" w:customStyle="1" w:styleId="ProcMbrlist">
    <w:name w:val="Proc Mbr list"/>
    <w:basedOn w:val="ProcSubHeading"/>
    <w:link w:val="ProcMbrlistChar"/>
    <w:qFormat/>
    <w:rsid w:val="0099068B"/>
    <w:pPr>
      <w:jc w:val="both"/>
    </w:pPr>
  </w:style>
  <w:style w:type="character" w:customStyle="1" w:styleId="ProcMbrlistChar">
    <w:name w:val="Proc Mbr list Char"/>
    <w:link w:val="ProcMbrlist"/>
    <w:rsid w:val="0099068B"/>
    <w:rPr>
      <w:rFonts w:ascii="Arial" w:eastAsia="Times New Roman" w:hAnsi="Arial" w:cs="Times New Roman"/>
      <w:sz w:val="20"/>
      <w:szCs w:val="32"/>
    </w:rPr>
  </w:style>
  <w:style w:type="paragraph" w:customStyle="1" w:styleId="ProcMbrLst">
    <w:name w:val="Proc Mbr Lst"/>
    <w:basedOn w:val="Normal"/>
    <w:qFormat/>
    <w:rsid w:val="0099068B"/>
    <w:pPr>
      <w:jc w:val="both"/>
    </w:pPr>
    <w:rPr>
      <w:rFonts w:eastAsia="Times New Roman"/>
      <w:noProof/>
    </w:rPr>
  </w:style>
  <w:style w:type="paragraph" w:customStyle="1" w:styleId="ProcReferences">
    <w:name w:val="Proc References"/>
    <w:basedOn w:val="ProcBody"/>
    <w:link w:val="ProcReferencesChar"/>
    <w:qFormat/>
    <w:rsid w:val="0099068B"/>
    <w:pPr>
      <w:ind w:left="360" w:hanging="360"/>
    </w:pPr>
  </w:style>
  <w:style w:type="character" w:customStyle="1" w:styleId="ProcReferencesChar">
    <w:name w:val="Proc References Char"/>
    <w:link w:val="ProcReferences"/>
    <w:rsid w:val="0099068B"/>
    <w:rPr>
      <w:rFonts w:ascii="Arial" w:eastAsia="Times New Roman" w:hAnsi="Arial" w:cs="Times New Roman"/>
      <w:sz w:val="20"/>
      <w:szCs w:val="20"/>
    </w:rPr>
  </w:style>
  <w:style w:type="paragraph" w:customStyle="1" w:styleId="ProcSubHead">
    <w:name w:val="Proc Sub Head"/>
    <w:basedOn w:val="Normal"/>
    <w:qFormat/>
    <w:rsid w:val="0099068B"/>
    <w:pPr>
      <w:jc w:val="center"/>
    </w:pPr>
    <w:rPr>
      <w:rFonts w:eastAsia="Times New Roman"/>
    </w:rPr>
  </w:style>
  <w:style w:type="paragraph" w:customStyle="1" w:styleId="ProcHdr">
    <w:name w:val="ProcHdr"/>
    <w:basedOn w:val="Heading1"/>
    <w:link w:val="ProcHdrChar"/>
    <w:qFormat/>
    <w:rsid w:val="0099068B"/>
    <w:pPr>
      <w:keepNext/>
      <w:spacing w:before="240" w:after="60" w:line="276" w:lineRule="auto"/>
      <w:jc w:val="left"/>
    </w:pPr>
    <w:rPr>
      <w:bCs/>
      <w:caps w:val="0"/>
      <w:kern w:val="32"/>
      <w:sz w:val="32"/>
      <w:szCs w:val="32"/>
    </w:rPr>
  </w:style>
  <w:style w:type="character" w:customStyle="1" w:styleId="ProcHdrChar">
    <w:name w:val="ProcHdr Char"/>
    <w:basedOn w:val="DefaultParagraphFont"/>
    <w:link w:val="ProcHdr"/>
    <w:rsid w:val="0099068B"/>
    <w:rPr>
      <w:rFonts w:ascii="Arial" w:eastAsiaTheme="majorEastAsia" w:hAnsi="Arial" w:cstheme="majorBidi"/>
      <w:b/>
      <w:bCs/>
      <w:kern w:val="32"/>
      <w:sz w:val="32"/>
      <w:szCs w:val="32"/>
    </w:rPr>
  </w:style>
  <w:style w:type="character" w:customStyle="1" w:styleId="Heading1Char">
    <w:name w:val="Heading 1 Char"/>
    <w:aliases w:val="Proc Heading Char"/>
    <w:link w:val="Heading1"/>
    <w:rsid w:val="0099068B"/>
    <w:rPr>
      <w:rFonts w:ascii="Arial" w:eastAsiaTheme="majorEastAsia" w:hAnsi="Arial" w:cstheme="majorBidi"/>
      <w:b/>
      <w:caps/>
      <w:sz w:val="20"/>
      <w:szCs w:val="20"/>
    </w:rPr>
  </w:style>
  <w:style w:type="paragraph" w:customStyle="1" w:styleId="ResHdr">
    <w:name w:val="ResHdr"/>
    <w:basedOn w:val="Normal"/>
    <w:link w:val="ResHdrChar"/>
    <w:autoRedefine/>
    <w:qFormat/>
    <w:rsid w:val="0099068B"/>
    <w:pPr>
      <w:widowControl w:val="0"/>
    </w:pPr>
    <w:rPr>
      <w:b/>
      <w:caps/>
    </w:rPr>
  </w:style>
  <w:style w:type="character" w:customStyle="1" w:styleId="ResHdrChar">
    <w:name w:val="ResHdr Char"/>
    <w:basedOn w:val="DefaultParagraphFont"/>
    <w:link w:val="ResHdr"/>
    <w:rsid w:val="0099068B"/>
    <w:rPr>
      <w:rFonts w:ascii="Arial" w:hAnsi="Arial"/>
      <w:b/>
      <w:caps/>
      <w:sz w:val="20"/>
      <w:szCs w:val="20"/>
    </w:rPr>
  </w:style>
  <w:style w:type="paragraph" w:customStyle="1" w:styleId="Style1">
    <w:name w:val="Style1"/>
    <w:basedOn w:val="ListParagraph"/>
    <w:qFormat/>
    <w:rsid w:val="0099068B"/>
    <w:pPr>
      <w:ind w:hanging="360"/>
      <w:jc w:val="both"/>
    </w:pPr>
    <w:rPr>
      <w:rFonts w:eastAsia="Times New Roman" w:cs="Arial"/>
    </w:rPr>
  </w:style>
  <w:style w:type="paragraph" w:styleId="ListParagraph">
    <w:name w:val="List Paragraph"/>
    <w:basedOn w:val="Normal"/>
    <w:uiPriority w:val="34"/>
    <w:qFormat/>
    <w:rsid w:val="0099068B"/>
    <w:pPr>
      <w:ind w:left="720"/>
    </w:pPr>
  </w:style>
  <w:style w:type="paragraph" w:customStyle="1" w:styleId="Default">
    <w:name w:val="Default"/>
    <w:rsid w:val="0099068B"/>
    <w:pPr>
      <w:autoSpaceDE w:val="0"/>
      <w:autoSpaceDN w:val="0"/>
      <w:adjustRightInd w:val="0"/>
    </w:pPr>
    <w:rPr>
      <w:rFonts w:eastAsia="Calibri" w:cs="Arial"/>
      <w:color w:val="000000"/>
      <w:sz w:val="24"/>
      <w:szCs w:val="24"/>
    </w:rPr>
  </w:style>
  <w:style w:type="paragraph" w:customStyle="1" w:styleId="Normal37">
    <w:name w:val="Normal+37"/>
    <w:basedOn w:val="Default"/>
    <w:next w:val="Default"/>
    <w:uiPriority w:val="99"/>
    <w:rsid w:val="0099068B"/>
    <w:pPr>
      <w:widowControl w:val="0"/>
    </w:pPr>
    <w:rPr>
      <w:rFonts w:eastAsiaTheme="minorEastAsia"/>
      <w:color w:val="auto"/>
    </w:rPr>
  </w:style>
  <w:style w:type="paragraph" w:customStyle="1" w:styleId="yiv6955135338msonormal">
    <w:name w:val="yiv6955135338msonormal"/>
    <w:basedOn w:val="Normal"/>
    <w:rsid w:val="0099068B"/>
    <w:pPr>
      <w:spacing w:before="100" w:beforeAutospacing="1" w:after="100" w:afterAutospacing="1"/>
    </w:pPr>
    <w:rPr>
      <w:rFonts w:ascii="Times New Roman" w:eastAsia="Times New Roman" w:hAnsi="Times New Roman"/>
      <w:sz w:val="24"/>
    </w:rPr>
  </w:style>
  <w:style w:type="paragraph" w:customStyle="1" w:styleId="yiv3910526817msonormal">
    <w:name w:val="yiv3910526817msonormal"/>
    <w:basedOn w:val="Normal"/>
    <w:rsid w:val="0099068B"/>
    <w:pPr>
      <w:spacing w:before="100" w:beforeAutospacing="1" w:after="100" w:afterAutospacing="1"/>
    </w:pPr>
    <w:rPr>
      <w:rFonts w:ascii="Times New Roman" w:eastAsia="Times New Roman" w:hAnsi="Times New Roman"/>
      <w:sz w:val="24"/>
    </w:rPr>
  </w:style>
  <w:style w:type="character" w:customStyle="1" w:styleId="Heading2Char">
    <w:name w:val="Heading 2 Char"/>
    <w:link w:val="Heading2"/>
    <w:uiPriority w:val="9"/>
    <w:rsid w:val="0099068B"/>
    <w:rPr>
      <w:rFonts w:ascii="Arial" w:eastAsia="Times New Roman" w:hAnsi="Arial" w:cs="Times New Roman"/>
      <w:b/>
      <w:bCs/>
      <w:color w:val="FF4500"/>
      <w:sz w:val="17"/>
      <w:szCs w:val="17"/>
      <w:shd w:val="clear" w:color="auto" w:fill="FFFFFF"/>
    </w:rPr>
  </w:style>
  <w:style w:type="character" w:customStyle="1" w:styleId="Heading3Char">
    <w:name w:val="Heading 3 Char"/>
    <w:link w:val="Heading3"/>
    <w:semiHidden/>
    <w:rsid w:val="0099068B"/>
    <w:rPr>
      <w:rFonts w:ascii="Cambria" w:eastAsia="Times New Roman" w:hAnsi="Cambria" w:cs="Times New Roman"/>
      <w:b/>
      <w:bCs/>
      <w:sz w:val="26"/>
      <w:szCs w:val="26"/>
    </w:rPr>
  </w:style>
  <w:style w:type="character" w:customStyle="1" w:styleId="Heading4Char">
    <w:name w:val="Heading 4 Char"/>
    <w:link w:val="Heading4"/>
    <w:semiHidden/>
    <w:rsid w:val="0099068B"/>
    <w:rPr>
      <w:rFonts w:ascii="Arial" w:eastAsia="Times New Roman" w:hAnsi="Arial" w:cs="Times New Roman"/>
      <w:b/>
      <w:bCs/>
      <w:sz w:val="28"/>
      <w:szCs w:val="28"/>
    </w:rPr>
  </w:style>
  <w:style w:type="character" w:customStyle="1" w:styleId="Heading5Char">
    <w:name w:val="Heading 5 Char"/>
    <w:link w:val="Heading5"/>
    <w:semiHidden/>
    <w:rsid w:val="0099068B"/>
    <w:rPr>
      <w:rFonts w:ascii="Arial" w:eastAsia="Times New Roman" w:hAnsi="Arial" w:cs="Times New Roman"/>
      <w:b/>
      <w:bCs/>
      <w:i/>
      <w:iCs/>
      <w:sz w:val="26"/>
      <w:szCs w:val="26"/>
    </w:rPr>
  </w:style>
  <w:style w:type="character" w:customStyle="1" w:styleId="Heading6Char">
    <w:name w:val="Heading 6 Char"/>
    <w:link w:val="Heading6"/>
    <w:semiHidden/>
    <w:rsid w:val="0099068B"/>
    <w:rPr>
      <w:rFonts w:ascii="Arial" w:eastAsia="Times New Roman" w:hAnsi="Arial" w:cs="Times New Roman"/>
      <w:b/>
      <w:bCs/>
    </w:rPr>
  </w:style>
  <w:style w:type="character" w:customStyle="1" w:styleId="Heading7Char">
    <w:name w:val="Heading 7 Char"/>
    <w:link w:val="Heading7"/>
    <w:semiHidden/>
    <w:rsid w:val="0099068B"/>
    <w:rPr>
      <w:rFonts w:ascii="Arial" w:eastAsia="Times New Roman" w:hAnsi="Arial" w:cs="Times New Roman"/>
      <w:sz w:val="24"/>
      <w:szCs w:val="20"/>
    </w:rPr>
  </w:style>
  <w:style w:type="character" w:customStyle="1" w:styleId="Heading8Char">
    <w:name w:val="Heading 8 Char"/>
    <w:link w:val="Heading8"/>
    <w:semiHidden/>
    <w:rsid w:val="0099068B"/>
    <w:rPr>
      <w:rFonts w:ascii="Arial" w:eastAsia="Times New Roman" w:hAnsi="Arial" w:cs="Times New Roman"/>
      <w:i/>
      <w:iCs/>
      <w:sz w:val="24"/>
      <w:szCs w:val="20"/>
    </w:rPr>
  </w:style>
  <w:style w:type="character" w:customStyle="1" w:styleId="Heading9Char">
    <w:name w:val="Heading 9 Char"/>
    <w:link w:val="Heading9"/>
    <w:semiHidden/>
    <w:rsid w:val="0099068B"/>
    <w:rPr>
      <w:rFonts w:ascii="Cambria" w:eastAsia="Times New Roman" w:hAnsi="Cambria" w:cs="Times New Roman"/>
    </w:rPr>
  </w:style>
  <w:style w:type="paragraph" w:styleId="Header">
    <w:name w:val="header"/>
    <w:basedOn w:val="Normal"/>
    <w:link w:val="HeaderChar"/>
    <w:uiPriority w:val="99"/>
    <w:rsid w:val="0099068B"/>
    <w:pPr>
      <w:tabs>
        <w:tab w:val="center" w:pos="4680"/>
        <w:tab w:val="right" w:pos="9360"/>
      </w:tabs>
    </w:pPr>
    <w:rPr>
      <w:rFonts w:eastAsia="Times New Roman"/>
    </w:rPr>
  </w:style>
  <w:style w:type="character" w:customStyle="1" w:styleId="HeaderChar">
    <w:name w:val="Header Char"/>
    <w:link w:val="Header"/>
    <w:uiPriority w:val="99"/>
    <w:rsid w:val="0099068B"/>
    <w:rPr>
      <w:rFonts w:ascii="Arial" w:eastAsia="Times New Roman" w:hAnsi="Arial" w:cs="Times New Roman"/>
      <w:sz w:val="20"/>
      <w:szCs w:val="20"/>
    </w:rPr>
  </w:style>
  <w:style w:type="paragraph" w:styleId="Footer">
    <w:name w:val="footer"/>
    <w:basedOn w:val="Normal"/>
    <w:link w:val="FooterChar"/>
    <w:uiPriority w:val="99"/>
    <w:unhideWhenUsed/>
    <w:rsid w:val="0099068B"/>
    <w:pPr>
      <w:tabs>
        <w:tab w:val="center" w:pos="4680"/>
        <w:tab w:val="right" w:pos="9360"/>
      </w:tabs>
    </w:pPr>
    <w:rPr>
      <w:rFonts w:eastAsia="Times New Roman"/>
    </w:rPr>
  </w:style>
  <w:style w:type="character" w:customStyle="1" w:styleId="FooterChar">
    <w:name w:val="Footer Char"/>
    <w:link w:val="Footer"/>
    <w:uiPriority w:val="99"/>
    <w:rsid w:val="0099068B"/>
    <w:rPr>
      <w:rFonts w:ascii="Arial" w:eastAsia="Times New Roman" w:hAnsi="Arial" w:cs="Times New Roman"/>
      <w:sz w:val="20"/>
      <w:szCs w:val="20"/>
    </w:rPr>
  </w:style>
  <w:style w:type="paragraph" w:styleId="EnvelopeAddress">
    <w:name w:val="envelope address"/>
    <w:basedOn w:val="Normal"/>
    <w:uiPriority w:val="99"/>
    <w:semiHidden/>
    <w:unhideWhenUsed/>
    <w:rsid w:val="0099068B"/>
    <w:pPr>
      <w:framePr w:w="7920" w:h="1980" w:hRule="exact" w:hSpace="180" w:wrap="auto" w:hAnchor="page" w:xAlign="center" w:yAlign="bottom"/>
      <w:ind w:left="2880"/>
    </w:pPr>
    <w:rPr>
      <w:rFonts w:eastAsiaTheme="majorEastAsia" w:cstheme="majorBidi"/>
      <w:sz w:val="24"/>
      <w:szCs w:val="24"/>
    </w:rPr>
  </w:style>
  <w:style w:type="paragraph" w:styleId="BodyText">
    <w:name w:val="Body Text"/>
    <w:basedOn w:val="Normal"/>
    <w:link w:val="BodyTextChar"/>
    <w:rsid w:val="0099068B"/>
    <w:pPr>
      <w:tabs>
        <w:tab w:val="center" w:pos="4680"/>
      </w:tabs>
      <w:suppressAutoHyphens/>
    </w:pPr>
    <w:rPr>
      <w:rFonts w:eastAsia="Times New Roman"/>
      <w:b/>
      <w:spacing w:val="-3"/>
      <w:sz w:val="30"/>
    </w:rPr>
  </w:style>
  <w:style w:type="character" w:customStyle="1" w:styleId="BodyTextChar">
    <w:name w:val="Body Text Char"/>
    <w:link w:val="BodyText"/>
    <w:rsid w:val="0099068B"/>
    <w:rPr>
      <w:rFonts w:ascii="Arial" w:eastAsia="Times New Roman" w:hAnsi="Arial" w:cs="Times New Roman"/>
      <w:b/>
      <w:spacing w:val="-3"/>
      <w:sz w:val="30"/>
      <w:szCs w:val="20"/>
    </w:rPr>
  </w:style>
  <w:style w:type="paragraph" w:styleId="BodyTextIndent2">
    <w:name w:val="Body Text Indent 2"/>
    <w:basedOn w:val="Normal"/>
    <w:link w:val="BodyTextIndent2Char"/>
    <w:semiHidden/>
    <w:unhideWhenUsed/>
    <w:rsid w:val="0099068B"/>
    <w:pPr>
      <w:spacing w:after="120" w:line="480" w:lineRule="auto"/>
      <w:ind w:left="360"/>
    </w:pPr>
    <w:rPr>
      <w:rFonts w:eastAsia="Times New Roman"/>
    </w:rPr>
  </w:style>
  <w:style w:type="character" w:customStyle="1" w:styleId="BodyTextIndent2Char">
    <w:name w:val="Body Text Indent 2 Char"/>
    <w:link w:val="BodyTextIndent2"/>
    <w:semiHidden/>
    <w:rsid w:val="0099068B"/>
    <w:rPr>
      <w:rFonts w:ascii="Arial" w:eastAsia="Times New Roman" w:hAnsi="Arial" w:cs="Times New Roman"/>
      <w:sz w:val="20"/>
      <w:szCs w:val="20"/>
    </w:rPr>
  </w:style>
  <w:style w:type="character" w:styleId="Hyperlink">
    <w:name w:val="Hyperlink"/>
    <w:uiPriority w:val="99"/>
    <w:unhideWhenUsed/>
    <w:rsid w:val="0099068B"/>
    <w:rPr>
      <w:color w:val="0000FF"/>
      <w:u w:val="single"/>
    </w:rPr>
  </w:style>
  <w:style w:type="character" w:styleId="Strong">
    <w:name w:val="Strong"/>
    <w:uiPriority w:val="22"/>
    <w:qFormat/>
    <w:rsid w:val="0099068B"/>
    <w:rPr>
      <w:b/>
      <w:bCs/>
    </w:rPr>
  </w:style>
  <w:style w:type="character" w:styleId="Emphasis">
    <w:name w:val="Emphasis"/>
    <w:uiPriority w:val="20"/>
    <w:qFormat/>
    <w:rsid w:val="0099068B"/>
    <w:rPr>
      <w:i/>
      <w:iCs/>
    </w:rPr>
  </w:style>
  <w:style w:type="paragraph" w:styleId="BalloonText">
    <w:name w:val="Balloon Text"/>
    <w:basedOn w:val="Normal"/>
    <w:link w:val="BalloonTextChar"/>
    <w:uiPriority w:val="99"/>
    <w:semiHidden/>
    <w:unhideWhenUsed/>
    <w:rsid w:val="0099068B"/>
    <w:rPr>
      <w:rFonts w:ascii="Tahoma" w:eastAsia="Times New Roman" w:hAnsi="Tahoma"/>
      <w:sz w:val="16"/>
      <w:szCs w:val="16"/>
    </w:rPr>
  </w:style>
  <w:style w:type="character" w:customStyle="1" w:styleId="BalloonTextChar">
    <w:name w:val="Balloon Text Char"/>
    <w:link w:val="BalloonText"/>
    <w:uiPriority w:val="99"/>
    <w:semiHidden/>
    <w:rsid w:val="0099068B"/>
    <w:rPr>
      <w:rFonts w:ascii="Tahoma" w:eastAsia="Times New Roman" w:hAnsi="Tahoma" w:cs="Times New Roman"/>
      <w:sz w:val="16"/>
      <w:szCs w:val="16"/>
    </w:rPr>
  </w:style>
  <w:style w:type="paragraph" w:styleId="NoSpacing">
    <w:name w:val="No Spacing"/>
    <w:uiPriority w:val="1"/>
    <w:qFormat/>
    <w:rsid w:val="0099068B"/>
    <w:pPr>
      <w:ind w:firstLine="360"/>
    </w:pPr>
    <w:rPr>
      <w:rFonts w:ascii="Book Antiqua" w:eastAsia="Calibri" w:hAnsi="Book Antiqua"/>
    </w:rPr>
  </w:style>
  <w:style w:type="character" w:customStyle="1" w:styleId="normaltextrun">
    <w:name w:val="normaltextrun"/>
    <w:basedOn w:val="DefaultParagraphFont"/>
    <w:rsid w:val="0004484A"/>
  </w:style>
  <w:style w:type="paragraph" w:styleId="Title">
    <w:name w:val="Title"/>
    <w:basedOn w:val="Normal"/>
    <w:next w:val="Normal"/>
    <w:link w:val="TitleChar"/>
    <w:uiPriority w:val="10"/>
    <w:qFormat/>
    <w:rsid w:val="006C4E8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4E8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924085">
      <w:bodyDiv w:val="1"/>
      <w:marLeft w:val="0"/>
      <w:marRight w:val="0"/>
      <w:marTop w:val="0"/>
      <w:marBottom w:val="0"/>
      <w:divBdr>
        <w:top w:val="none" w:sz="0" w:space="0" w:color="auto"/>
        <w:left w:val="none" w:sz="0" w:space="0" w:color="auto"/>
        <w:bottom w:val="none" w:sz="0" w:space="0" w:color="auto"/>
        <w:right w:val="none" w:sz="0" w:space="0" w:color="auto"/>
      </w:divBdr>
    </w:div>
    <w:div w:id="1005548702">
      <w:bodyDiv w:val="1"/>
      <w:marLeft w:val="0"/>
      <w:marRight w:val="0"/>
      <w:marTop w:val="0"/>
      <w:marBottom w:val="0"/>
      <w:divBdr>
        <w:top w:val="none" w:sz="0" w:space="0" w:color="auto"/>
        <w:left w:val="none" w:sz="0" w:space="0" w:color="auto"/>
        <w:bottom w:val="none" w:sz="0" w:space="0" w:color="auto"/>
        <w:right w:val="none" w:sz="0" w:space="0" w:color="auto"/>
      </w:divBdr>
    </w:div>
    <w:div w:id="1073743023">
      <w:bodyDiv w:val="1"/>
      <w:marLeft w:val="0"/>
      <w:marRight w:val="0"/>
      <w:marTop w:val="0"/>
      <w:marBottom w:val="0"/>
      <w:divBdr>
        <w:top w:val="none" w:sz="0" w:space="0" w:color="auto"/>
        <w:left w:val="none" w:sz="0" w:space="0" w:color="auto"/>
        <w:bottom w:val="none" w:sz="0" w:space="0" w:color="auto"/>
        <w:right w:val="none" w:sz="0" w:space="0" w:color="auto"/>
      </w:divBdr>
    </w:div>
    <w:div w:id="1793091997">
      <w:bodyDiv w:val="1"/>
      <w:marLeft w:val="0"/>
      <w:marRight w:val="0"/>
      <w:marTop w:val="0"/>
      <w:marBottom w:val="0"/>
      <w:divBdr>
        <w:top w:val="none" w:sz="0" w:space="0" w:color="auto"/>
        <w:left w:val="none" w:sz="0" w:space="0" w:color="auto"/>
        <w:bottom w:val="none" w:sz="0" w:space="0" w:color="auto"/>
        <w:right w:val="none" w:sz="0" w:space="0" w:color="auto"/>
      </w:divBdr>
    </w:div>
    <w:div w:id="1801611195">
      <w:bodyDiv w:val="1"/>
      <w:marLeft w:val="0"/>
      <w:marRight w:val="0"/>
      <w:marTop w:val="0"/>
      <w:marBottom w:val="0"/>
      <w:divBdr>
        <w:top w:val="none" w:sz="0" w:space="0" w:color="auto"/>
        <w:left w:val="none" w:sz="0" w:space="0" w:color="auto"/>
        <w:bottom w:val="none" w:sz="0" w:space="0" w:color="auto"/>
        <w:right w:val="none" w:sz="0" w:space="0" w:color="auto"/>
      </w:divBdr>
    </w:div>
    <w:div w:id="2040812934">
      <w:bodyDiv w:val="1"/>
      <w:marLeft w:val="0"/>
      <w:marRight w:val="0"/>
      <w:marTop w:val="0"/>
      <w:marBottom w:val="0"/>
      <w:divBdr>
        <w:top w:val="none" w:sz="0" w:space="0" w:color="auto"/>
        <w:left w:val="none" w:sz="0" w:space="0" w:color="auto"/>
        <w:bottom w:val="none" w:sz="0" w:space="0" w:color="auto"/>
        <w:right w:val="none" w:sz="0" w:space="0" w:color="auto"/>
      </w:divBdr>
    </w:div>
    <w:div w:id="2048724845">
      <w:bodyDiv w:val="1"/>
      <w:marLeft w:val="0"/>
      <w:marRight w:val="0"/>
      <w:marTop w:val="0"/>
      <w:marBottom w:val="0"/>
      <w:divBdr>
        <w:top w:val="none" w:sz="0" w:space="0" w:color="auto"/>
        <w:left w:val="none" w:sz="0" w:space="0" w:color="auto"/>
        <w:bottom w:val="none" w:sz="0" w:space="0" w:color="auto"/>
        <w:right w:val="none" w:sz="0" w:space="0" w:color="auto"/>
      </w:divBdr>
    </w:div>
    <w:div w:id="2094810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3166</Words>
  <Characters>18050</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KLJ</dc:creator>
  <cp:keywords/>
  <dc:description/>
  <cp:lastModifiedBy>Thomas "TR" Lansford, DVM</cp:lastModifiedBy>
  <cp:revision>2</cp:revision>
  <dcterms:created xsi:type="dcterms:W3CDTF">2026-10-20T23:09:00Z</dcterms:created>
  <dcterms:modified xsi:type="dcterms:W3CDTF">2026-10-20T23:09:00Z</dcterms:modified>
</cp:coreProperties>
</file>